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Kanit Medium" w:cs="Kanit Medium" w:eastAsia="Kanit Medium" w:hAnsi="Kanit Medium"/>
          <w:sz w:val="24"/>
          <w:szCs w:val="24"/>
        </w:rPr>
      </w:pPr>
      <w:r w:rsidDel="00000000" w:rsidR="00000000" w:rsidRPr="00000000">
        <w:rPr>
          <w:rFonts w:ascii="Kanit Medium" w:cs="Kanit Medium" w:eastAsia="Kanit Medium" w:hAnsi="Kanit Medium"/>
          <w:sz w:val="24"/>
          <w:szCs w:val="24"/>
          <w:rtl w:val="0"/>
        </w:rPr>
        <w:t xml:space="preserve">GUIA DE MOVIMENTAÇÃO DE BENS MÓVEIS DA ESP/CE</w:t>
      </w:r>
    </w:p>
    <w:p w:rsidR="00000000" w:rsidDel="00000000" w:rsidP="00000000" w:rsidRDefault="00000000" w:rsidRPr="00000000" w14:paraId="00000002">
      <w:pPr>
        <w:jc w:val="center"/>
        <w:rPr>
          <w:rFonts w:ascii="Kanit Medium" w:cs="Kanit Medium" w:eastAsia="Kanit Medium" w:hAnsi="Kanit Mediu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343.8" w:hRule="atLeast"/>
          <w:tblHeader w:val="0"/>
        </w:trPr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01 – ÁREA REMETENTE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6456692913375" w:right="0" w:firstLine="0"/>
              <w:jc w:val="left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Kanit Medium" w:cs="Kanit Medium" w:eastAsia="Kanit Medium" w:hAnsi="Kanit Mediu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343.8" w:hRule="atLeast"/>
          <w:tblHeader w:val="0"/>
        </w:trPr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02 – ÁREA DESTINATÁRIA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Kanit Medium" w:cs="Kanit Medium" w:eastAsia="Kanit Medium" w:hAnsi="Kanit Mediu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6720"/>
        <w:gridCol w:w="1770"/>
        <w:tblGridChange w:id="0">
          <w:tblGrid>
            <w:gridCol w:w="2265"/>
            <w:gridCol w:w="6720"/>
            <w:gridCol w:w="1770"/>
          </w:tblGrid>
        </w:tblGridChange>
      </w:tblGrid>
      <w:tr>
        <w:trPr>
          <w:cantSplit w:val="0"/>
          <w:trHeight w:val="343.8" w:hRule="atLeast"/>
          <w:tblHeader w:val="0"/>
        </w:trPr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27.283464566929325" w:firstLine="0"/>
              <w:jc w:val="center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N.º TOMBAMENTO</w:t>
            </w:r>
          </w:p>
        </w:tc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27.283464566929325" w:firstLine="0"/>
              <w:jc w:val="center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27.283464566929325" w:firstLine="0"/>
              <w:jc w:val="center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QUANTIDADE</w:t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692913385826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rFonts w:ascii="Kanit Medium" w:cs="Kanit Medium" w:eastAsia="Kanit Medium" w:hAnsi="Kanit Mediu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rHeight w:val="343.8" w:hRule="atLeast"/>
          <w:tblHeader w:val="0"/>
        </w:trPr>
        <w:tc>
          <w:tcPr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03 – OBSERVAÇÕES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center"/>
        <w:rPr>
          <w:rFonts w:ascii="Kanit Medium" w:cs="Kanit Medium" w:eastAsia="Kanit Medium" w:hAnsi="Kanit Mediu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4170"/>
        <w:gridCol w:w="1230"/>
        <w:gridCol w:w="4170"/>
        <w:tblGridChange w:id="0">
          <w:tblGrid>
            <w:gridCol w:w="1230"/>
            <w:gridCol w:w="4170"/>
            <w:gridCol w:w="1230"/>
            <w:gridCol w:w="4170"/>
          </w:tblGrid>
        </w:tblGridChange>
      </w:tblGrid>
      <w:tr>
        <w:trPr>
          <w:cantSplit w:val="0"/>
          <w:trHeight w:val="343.8" w:hRule="atLeast"/>
          <w:tblHeader w:val="0"/>
        </w:trPr>
        <w:tc>
          <w:tcPr>
            <w:gridSpan w:val="2"/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04 – ESTADO DE CONSERVAÇÃO</w:t>
            </w:r>
          </w:p>
        </w:tc>
        <w:tc>
          <w:tcPr>
            <w:gridSpan w:val="2"/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4.1 – MOTIVO</w:t>
            </w:r>
          </w:p>
        </w:tc>
      </w:tr>
      <w:tr>
        <w:trPr>
          <w:cantSplit w:val="0"/>
          <w:trHeight w:val="216.6929133858267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[     ]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41.7322834645671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NOVO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[     ]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141.7322834645671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TRANSFERÊNCIA</w:t>
            </w:r>
          </w:p>
        </w:tc>
      </w:tr>
      <w:tr>
        <w:trPr>
          <w:cantSplit w:val="0"/>
          <w:trHeight w:val="216.6929133858267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[     ]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41.7322834645671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BOM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[     ]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141.7322834645671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REDISTRIBUIÇÃO</w:t>
            </w:r>
          </w:p>
        </w:tc>
      </w:tr>
      <w:tr>
        <w:trPr>
          <w:cantSplit w:val="0"/>
          <w:trHeight w:val="216.6929133858267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[     ]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41.7322834645671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REGULAR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[     ]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141.7322834645671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RECOLHIMENTO</w:t>
            </w:r>
          </w:p>
        </w:tc>
      </w:tr>
      <w:tr>
        <w:trPr>
          <w:cantSplit w:val="0"/>
          <w:trHeight w:val="216.69291338582678" w:hRule="atLeast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[     ]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141.7322834645671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PÉSSIMO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[     ]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141.7322834645671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BAIXA</w:t>
            </w:r>
          </w:p>
        </w:tc>
      </w:tr>
    </w:tbl>
    <w:p w:rsidR="00000000" w:rsidDel="00000000" w:rsidP="00000000" w:rsidRDefault="00000000" w:rsidRPr="00000000" w14:paraId="0000004E">
      <w:pPr>
        <w:jc w:val="left"/>
        <w:rPr>
          <w:rFonts w:ascii="Kanit Medium" w:cs="Kanit Medium" w:eastAsia="Kanit Medium" w:hAnsi="Kanit Medium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Kanit Medium" w:cs="Kanit Medium" w:eastAsia="Kanit Medium" w:hAnsi="Kanit Mediu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2685"/>
        <w:tblGridChange w:id="0">
          <w:tblGrid>
            <w:gridCol w:w="8085"/>
            <w:gridCol w:w="2685"/>
          </w:tblGrid>
        </w:tblGridChange>
      </w:tblGrid>
      <w:tr>
        <w:trPr>
          <w:cantSplit w:val="1"/>
          <w:trHeight w:val="343.8" w:hRule="atLeast"/>
          <w:tblHeader w:val="0"/>
        </w:trPr>
        <w:tc>
          <w:tcPr>
            <w:gridSpan w:val="2"/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05 – AUTORIZAÇÃO DE SAÍDA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0" w:firstLine="0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AUTORIZO A SAÍDA DOS BENS PATRIMONIAIS ACIMA RELACIONADOS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283.46456692913375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283.46456692913375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283.46456692913375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283.46456692913375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283.46456692913375" w:firstLine="0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0" w:firstLine="0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0" w:firstLine="0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firstLine="0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 / _____ / _____</w:t>
            </w:r>
          </w:p>
        </w:tc>
      </w:tr>
    </w:tbl>
    <w:p w:rsidR="00000000" w:rsidDel="00000000" w:rsidP="00000000" w:rsidRDefault="00000000" w:rsidRPr="00000000" w14:paraId="0000005D">
      <w:pPr>
        <w:jc w:val="left"/>
        <w:rPr>
          <w:rFonts w:ascii="Kanit Medium" w:cs="Kanit Medium" w:eastAsia="Kanit Medium" w:hAnsi="Kanit Mediu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5"/>
        <w:gridCol w:w="2685"/>
        <w:tblGridChange w:id="0">
          <w:tblGrid>
            <w:gridCol w:w="8085"/>
            <w:gridCol w:w="2685"/>
          </w:tblGrid>
        </w:tblGridChange>
      </w:tblGrid>
      <w:tr>
        <w:trPr>
          <w:cantSplit w:val="0"/>
          <w:trHeight w:val="343.8" w:hRule="atLeast"/>
          <w:tblHeader w:val="0"/>
        </w:trPr>
        <w:tc>
          <w:tcPr>
            <w:gridSpan w:val="2"/>
            <w:shd w:fill="f3f3f3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283.46456692913375" w:firstLine="0"/>
              <w:rPr>
                <w:rFonts w:ascii="Kanit Medium" w:cs="Kanit Medium" w:eastAsia="Kanit Medium" w:hAnsi="Kanit Medium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06 – RECEBIMENTO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41.73228346456688" w:right="87.99212598425243" w:firstLine="0"/>
              <w:jc w:val="both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RECEBI OS BENS PATRIMONIAIS ACIMA DESCRITOS NO ESTADO EM QUE SE ENCONTRAM E, DESDE JÁ, ASSUMO INTEIRA RESPONSABILIDADE POR SUA GUARDA E CONSERVAÇÃO, USANDO-OS DE MANEIRA ADEQUADA PARA NÃO DIMINUIR SUA VIDA ÚTIL, DEVENDO, AINDA, SER ENCAMINHADA A 1ª VIA DESTA GUIA DE MOVIMENTAÇÃO PARA O NÚCLEO DE GESTÃO ADMINISTRATIVA NO PRAZO MÁXIMO DE 3 (TRÊS) DIAS ÚTEIS DO RECEBIMENTO, PARA REGULARIZAÇÃO DA CARGA PATRIMONIAL.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283.46456692913375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283.46456692913375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283.46456692913375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283.46456692913375" w:firstLine="0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Medium" w:cs="Kanit Medium" w:eastAsia="Kanit Medium" w:hAnsi="Kanit Medium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283.46456692913375" w:firstLine="0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Fonts w:ascii="Kanit Light" w:cs="Kanit Light" w:eastAsia="Kanit Light" w:hAnsi="Kanit Light"/>
                <w:sz w:val="20"/>
                <w:szCs w:val="20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Kanit Light" w:cs="Kanit Light" w:eastAsia="Kanit Light" w:hAnsi="Kanit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 / _____ / _____</w:t>
            </w:r>
          </w:p>
        </w:tc>
      </w:tr>
    </w:tbl>
    <w:p w:rsidR="00000000" w:rsidDel="00000000" w:rsidP="00000000" w:rsidRDefault="00000000" w:rsidRPr="00000000" w14:paraId="0000006C">
      <w:pPr>
        <w:jc w:val="center"/>
        <w:rPr>
          <w:rFonts w:ascii="Kanit Medium" w:cs="Kanit Medium" w:eastAsia="Kanit Medium" w:hAnsi="Kanit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right"/>
        <w:rPr>
          <w:rFonts w:ascii="Kanit" w:cs="Kanit" w:eastAsia="Kanit" w:hAnsi="Kani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right"/>
        <w:rPr>
          <w:sz w:val="20"/>
          <w:szCs w:val="20"/>
        </w:rPr>
      </w:pPr>
      <w:r w:rsidDel="00000000" w:rsidR="00000000" w:rsidRPr="00000000">
        <w:rPr>
          <w:rFonts w:ascii="Kanit" w:cs="Kanit" w:eastAsia="Kanit" w:hAnsi="Kanit"/>
          <w:sz w:val="20"/>
          <w:szCs w:val="20"/>
          <w:rtl w:val="0"/>
        </w:rPr>
        <w:t xml:space="preserve">Fortaleza</w:t>
      </w:r>
      <w:r w:rsidDel="00000000" w:rsidR="00000000" w:rsidRPr="00000000">
        <w:rPr>
          <w:rFonts w:ascii="Kanit Medium" w:cs="Kanit Medium" w:eastAsia="Kanit Medium" w:hAnsi="Kanit Medium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______ / ______ / ______</w:t>
      </w:r>
    </w:p>
    <w:p w:rsidR="00000000" w:rsidDel="00000000" w:rsidP="00000000" w:rsidRDefault="00000000" w:rsidRPr="00000000" w14:paraId="0000006F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before="55.940093994140625" w:line="240" w:lineRule="auto"/>
        <w:jc w:val="left"/>
        <w:rPr>
          <w:rFonts w:ascii="Kanit" w:cs="Kanit" w:eastAsia="Kanit" w:hAnsi="Kanit"/>
          <w:sz w:val="20.399999618530273"/>
          <w:szCs w:val="20.3999996185302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55.940093994140625" w:line="240" w:lineRule="auto"/>
        <w:jc w:val="center"/>
        <w:rPr>
          <w:rFonts w:ascii="Kanit" w:cs="Kanit" w:eastAsia="Kanit" w:hAnsi="Kanit"/>
          <w:sz w:val="20.399999618530273"/>
          <w:szCs w:val="20.3999996185302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Kanit" w:cs="Kanit" w:eastAsia="Kanit" w:hAnsi="Kanit"/>
          <w:sz w:val="20.399999618530273"/>
          <w:szCs w:val="20.399999618530273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before="55.940093994140625" w:line="240" w:lineRule="auto"/>
        <w:jc w:val="center"/>
        <w:rPr>
          <w:rFonts w:ascii="Kanit Light" w:cs="Kanit Light" w:eastAsia="Kanit Light" w:hAnsi="Kanit Light"/>
          <w:sz w:val="20"/>
          <w:szCs w:val="20"/>
        </w:rPr>
      </w:pPr>
      <w:r w:rsidDel="00000000" w:rsidR="00000000" w:rsidRPr="00000000">
        <w:rPr>
          <w:rFonts w:ascii="Kanit Light" w:cs="Kanit Light" w:eastAsia="Kanit Light" w:hAnsi="Kanit Light"/>
          <w:sz w:val="20"/>
          <w:szCs w:val="20"/>
          <w:rtl w:val="0"/>
        </w:rPr>
        <w:t xml:space="preserve">AUTORIZAÇÃO GESTORA DE PATRIMÔNIO (GEADM)</w:t>
      </w:r>
    </w:p>
    <w:p w:rsidR="00000000" w:rsidDel="00000000" w:rsidP="00000000" w:rsidRDefault="00000000" w:rsidRPr="00000000" w14:paraId="00000075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Kanit Medium" w:cs="Kanit Medium" w:eastAsia="Kanit Medium" w:hAnsi="Kanit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Kanit Medium" w:cs="Kanit Medium" w:eastAsia="Kanit Medium" w:hAnsi="Kanit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Kanit Medium" w:cs="Kanit Medium" w:eastAsia="Kanit Medium" w:hAnsi="Kanit Medium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Kanit Light" w:cs="Kanit Light" w:eastAsia="Kanit Light" w:hAnsi="Kanit Ligh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.0000000000002" w:top="1984.2519685039372" w:left="566.9291338582677" w:right="566.9291338582677" w:header="283.4645669291338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Kani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Kani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>
        <w:rFonts w:ascii="Kanit Light" w:cs="Kanit Light" w:eastAsia="Kanit Light" w:hAnsi="Kanit Light"/>
        <w:sz w:val="16"/>
        <w:szCs w:val="16"/>
      </w:rPr>
    </w:pPr>
    <w:r w:rsidDel="00000000" w:rsidR="00000000" w:rsidRPr="00000000">
      <w:rPr>
        <w:rFonts w:ascii="Kanit Light" w:cs="Kanit Light" w:eastAsia="Kanit Light" w:hAnsi="Kanit Light"/>
        <w:sz w:val="16"/>
        <w:szCs w:val="16"/>
        <w:rtl w:val="0"/>
      </w:rPr>
      <w:t xml:space="preserve">Escola de Saúde Pública do Estado do Ceará (ESP/CE)</w:t>
    </w:r>
  </w:p>
  <w:p w:rsidR="00000000" w:rsidDel="00000000" w:rsidP="00000000" w:rsidRDefault="00000000" w:rsidRPr="00000000" w14:paraId="0000007C">
    <w:pPr>
      <w:rPr>
        <w:rFonts w:ascii="Kanit Light" w:cs="Kanit Light" w:eastAsia="Kanit Light" w:hAnsi="Kanit Light"/>
        <w:sz w:val="16"/>
        <w:szCs w:val="16"/>
      </w:rPr>
    </w:pPr>
    <w:r w:rsidDel="00000000" w:rsidR="00000000" w:rsidRPr="00000000">
      <w:rPr>
        <w:rFonts w:ascii="Kanit Light" w:cs="Kanit Light" w:eastAsia="Kanit Light" w:hAnsi="Kanit Light"/>
        <w:sz w:val="16"/>
        <w:szCs w:val="16"/>
        <w:rtl w:val="0"/>
      </w:rPr>
      <w:t xml:space="preserve">Diretoria Administrativo-Financeira  |  Gerência Administrativa</w:t>
    </w:r>
  </w:p>
  <w:p w:rsidR="00000000" w:rsidDel="00000000" w:rsidP="00000000" w:rsidRDefault="00000000" w:rsidRPr="00000000" w14:paraId="0000007D">
    <w:pPr>
      <w:rPr>
        <w:rFonts w:ascii="Kanit Light" w:cs="Kanit Light" w:eastAsia="Kanit Light" w:hAnsi="Kanit Light"/>
        <w:sz w:val="16"/>
        <w:szCs w:val="16"/>
      </w:rPr>
    </w:pPr>
    <w:r w:rsidDel="00000000" w:rsidR="00000000" w:rsidRPr="00000000">
      <w:rPr>
        <w:rFonts w:ascii="Kanit Light" w:cs="Kanit Light" w:eastAsia="Kanit Light" w:hAnsi="Kanit Light"/>
        <w:sz w:val="16"/>
        <w:szCs w:val="16"/>
        <w:rtl w:val="0"/>
      </w:rPr>
      <w:t xml:space="preserve">Av. Antônio Justa 3161,  Meireles  |  Fortaleza – Ceará – Brasil</w:t>
    </w:r>
  </w:p>
  <w:p w:rsidR="00000000" w:rsidDel="00000000" w:rsidP="00000000" w:rsidRDefault="00000000" w:rsidRPr="00000000" w14:paraId="0000007E">
    <w:pPr>
      <w:rPr>
        <w:rFonts w:ascii="Kanit Light" w:cs="Kanit Light" w:eastAsia="Kanit Light" w:hAnsi="Kanit Light"/>
        <w:sz w:val="16"/>
        <w:szCs w:val="16"/>
      </w:rPr>
    </w:pPr>
    <w:r w:rsidDel="00000000" w:rsidR="00000000" w:rsidRPr="00000000">
      <w:rPr>
        <w:rFonts w:ascii="Kanit Light" w:cs="Kanit Light" w:eastAsia="Kanit Light" w:hAnsi="Kanit Light"/>
        <w:sz w:val="16"/>
        <w:szCs w:val="16"/>
        <w:rtl w:val="0"/>
      </w:rPr>
      <w:t xml:space="preserve">Fone: (85) 3101-1419  |  Fax: (85) 3101-1421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-371474</wp:posOffset>
          </wp:positionH>
          <wp:positionV relativeFrom="paragraph">
            <wp:posOffset>114300</wp:posOffset>
          </wp:positionV>
          <wp:extent cx="7686333" cy="57047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333" cy="5704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rPr>
        <w:rFonts w:ascii="Kanit Medium" w:cs="Kanit Medium" w:eastAsia="Kanit Medium" w:hAnsi="Kanit Medium"/>
        <w:sz w:val="16"/>
        <w:szCs w:val="16"/>
      </w:rPr>
    </w:pPr>
    <w:hyperlink r:id="rId2">
      <w:r w:rsidDel="00000000" w:rsidR="00000000" w:rsidRPr="00000000">
        <w:rPr>
          <w:rFonts w:ascii="Kanit Light" w:cs="Kanit Light" w:eastAsia="Kanit Light" w:hAnsi="Kanit Light"/>
          <w:sz w:val="16"/>
          <w:szCs w:val="16"/>
          <w:rtl w:val="0"/>
        </w:rPr>
        <w:t xml:space="preserve">www.esp.ce.gov.b</w:t>
      </w:r>
    </w:hyperlink>
    <w:hyperlink r:id="rId3">
      <w:r w:rsidDel="00000000" w:rsidR="00000000" w:rsidRPr="00000000">
        <w:rPr>
          <w:rFonts w:ascii="Kanit Light" w:cs="Kanit Light" w:eastAsia="Kanit Light" w:hAnsi="Kanit Light"/>
          <w:sz w:val="14"/>
          <w:szCs w:val="14"/>
          <w:rtl w:val="0"/>
        </w:rPr>
        <w:t xml:space="preserve">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916200" cy="61379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16200" cy="6137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Medium-regular.ttf"/><Relationship Id="rId2" Type="http://schemas.openxmlformats.org/officeDocument/2006/relationships/font" Target="fonts/KanitMedium-bold.ttf"/><Relationship Id="rId3" Type="http://schemas.openxmlformats.org/officeDocument/2006/relationships/font" Target="fonts/KanitMedium-italic.ttf"/><Relationship Id="rId4" Type="http://schemas.openxmlformats.org/officeDocument/2006/relationships/font" Target="fonts/KanitMedium-boldItalic.ttf"/><Relationship Id="rId11" Type="http://schemas.openxmlformats.org/officeDocument/2006/relationships/font" Target="fonts/Kanit-italic.ttf"/><Relationship Id="rId10" Type="http://schemas.openxmlformats.org/officeDocument/2006/relationships/font" Target="fonts/Kanit-bold.ttf"/><Relationship Id="rId12" Type="http://schemas.openxmlformats.org/officeDocument/2006/relationships/font" Target="fonts/Kanit-boldItalic.ttf"/><Relationship Id="rId9" Type="http://schemas.openxmlformats.org/officeDocument/2006/relationships/font" Target="fonts/Kanit-regular.ttf"/><Relationship Id="rId5" Type="http://schemas.openxmlformats.org/officeDocument/2006/relationships/font" Target="fonts/KanitLight-regular.ttf"/><Relationship Id="rId6" Type="http://schemas.openxmlformats.org/officeDocument/2006/relationships/font" Target="fonts/KanitLight-bold.ttf"/><Relationship Id="rId7" Type="http://schemas.openxmlformats.org/officeDocument/2006/relationships/font" Target="fonts/KanitLight-italic.ttf"/><Relationship Id="rId8" Type="http://schemas.openxmlformats.org/officeDocument/2006/relationships/font" Target="fonts/Kanit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esp.ce.gov.br" TargetMode="External"/><Relationship Id="rId3" Type="http://schemas.openxmlformats.org/officeDocument/2006/relationships/hyperlink" Target="http://www.esp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GV3eQ9Ks0dNbfK9wrMRSelq6g==">CgMxLjA4AHIhMXpqYWtEU0E5VHNzNUJLLXdUdVhsSXY3RThrRmRWemda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