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8" w:after="0"/>
        <w:ind w:hanging="0" w:start="0" w:end="-1"/>
        <w:jc w:val="center"/>
        <w:rPr>
          <w:rStyle w:val="Fontepargpadro"/>
          <w:rFonts w:ascii="Arial" w:hAnsi="Arial"/>
          <w:b/>
          <w:bCs/>
          <w:color w:val="000000"/>
          <w:sz w:val="20"/>
          <w:szCs w:val="20"/>
        </w:rPr>
      </w:pPr>
      <w:r>
        <w:rPr/>
      </w:r>
    </w:p>
    <w:p>
      <w:pPr>
        <w:pStyle w:val="Default"/>
        <w:tabs>
          <w:tab w:val="clear" w:pos="709"/>
          <w:tab w:val="left" w:pos="843" w:leader="none"/>
        </w:tabs>
        <w:spacing w:before="28" w:after="28"/>
        <w:ind w:hanging="0" w:start="0" w:end="-1"/>
        <w:jc w:val="center"/>
        <w:rPr/>
      </w:pPr>
      <w:r>
        <w:rPr>
          <w:rStyle w:val="Fontepargpadro"/>
          <w:rFonts w:ascii="Arial" w:hAnsi="Arial"/>
          <w:b/>
          <w:bCs/>
          <w:color w:val="000000"/>
          <w:sz w:val="20"/>
          <w:szCs w:val="20"/>
        </w:rPr>
        <w:t xml:space="preserve">ANEXO IV A </w:t>
      </w:r>
      <w:r>
        <w:rPr>
          <w:rStyle w:val="Fontepargpadro"/>
          <w:rFonts w:ascii="Arial" w:hAnsi="Arial"/>
          <w:b/>
          <w:bCs/>
          <w:i/>
          <w:iCs/>
          <w:color w:val="000000"/>
          <w:kern w:val="0"/>
          <w:sz w:val="20"/>
          <w:szCs w:val="20"/>
        </w:rPr>
        <w:t>–</w:t>
      </w:r>
      <w:r>
        <w:rPr>
          <w:rStyle w:val="Fontepargpadro"/>
          <w:rFonts w:ascii="Arial" w:hAnsi="Arial"/>
          <w:b/>
          <w:bCs/>
          <w:color w:val="000000"/>
          <w:sz w:val="20"/>
          <w:szCs w:val="20"/>
        </w:rPr>
        <w:t xml:space="preserve"> MINUTA DO TERMO DE CON</w:t>
      </w:r>
      <w:r>
        <w:rPr>
          <w:rStyle w:val="Fontepargpadro"/>
          <w:rFonts w:ascii="Arial" w:hAnsi="Arial"/>
          <w:b/>
          <w:bCs/>
          <w:color w:val="000000"/>
          <w:sz w:val="20"/>
          <w:szCs w:val="20"/>
          <w:shd w:fill="auto" w:val="clear"/>
        </w:rPr>
        <w:t xml:space="preserve">TRATO </w:t>
      </w:r>
      <w:r>
        <w:rPr>
          <w:rStyle w:val="Fontepargpadro"/>
          <w:rFonts w:eastAsia="Times New Roman" w:cs="Arial" w:ascii="Arial" w:hAnsi="Arial"/>
          <w:i/>
          <w:iCs/>
          <w:color w:val="000000"/>
          <w:sz w:val="20"/>
          <w:szCs w:val="20"/>
          <w:shd w:fill="auto" w:val="clear"/>
        </w:rPr>
        <w:t>(MODELO ADMINISTRAÇÃO DIRETA)</w:t>
      </w:r>
    </w:p>
    <w:p>
      <w:pPr>
        <w:pStyle w:val="Normal"/>
        <w:spacing w:before="28" w:after="28"/>
        <w:ind w:hanging="0" w:start="0" w:end="-1"/>
        <w:jc w:val="center"/>
        <w:rPr>
          <w:rFonts w:ascii="Arial" w:hAnsi="Arial"/>
          <w:color w:val="000000"/>
          <w:sz w:val="20"/>
          <w:szCs w:val="20"/>
        </w:rPr>
      </w:pPr>
      <w:r>
        <w:rPr>
          <w:rFonts w:ascii="Arial" w:hAnsi="Arial"/>
          <w:color w:val="000000"/>
          <w:sz w:val="20"/>
          <w:szCs w:val="20"/>
        </w:rPr>
        <w:t>Contrato nº ___ / 20__ –</w:t>
      </w:r>
    </w:p>
    <w:p>
      <w:pPr>
        <w:pStyle w:val="Normal"/>
        <w:spacing w:before="28" w:after="28"/>
        <w:ind w:hanging="0" w:start="0" w:end="-1"/>
        <w:jc w:val="center"/>
        <w:rPr/>
      </w:pPr>
      <w:r>
        <w:rPr>
          <w:rStyle w:val="Fontepargpadro"/>
          <w:rFonts w:ascii="Arial" w:hAnsi="Arial"/>
          <w:color w:val="000000"/>
          <w:sz w:val="20"/>
          <w:szCs w:val="20"/>
        </w:rPr>
        <w:t xml:space="preserve">Processo nº </w:t>
      </w:r>
      <w:r>
        <w:rPr>
          <w:rStyle w:val="Fontepargpadro"/>
          <w:rFonts w:cs="Calibri" w:ascii="Arial" w:hAnsi="Arial"/>
          <w:color w:val="000000"/>
          <w:sz w:val="20"/>
          <w:szCs w:val="20"/>
        </w:rPr>
        <w:t>30032.001755/2024-09</w:t>
      </w:r>
    </w:p>
    <w:p>
      <w:pPr>
        <w:pStyle w:val="BodyText"/>
        <w:autoSpaceDE w:val="false"/>
        <w:spacing w:lineRule="auto" w:line="240" w:before="28" w:after="28"/>
        <w:ind w:hanging="0" w:start="0" w:end="-1"/>
        <w:jc w:val="both"/>
        <w:rPr>
          <w:rFonts w:ascii="Arial" w:hAnsi="Arial"/>
          <w:color w:val="000000"/>
          <w:sz w:val="20"/>
          <w:szCs w:val="20"/>
        </w:rPr>
      </w:pPr>
      <w:r>
        <w:rPr>
          <w:rFonts w:ascii="Arial" w:hAnsi="Arial"/>
          <w:color w:val="000000"/>
          <w:sz w:val="20"/>
          <w:szCs w:val="20"/>
        </w:rPr>
      </w:r>
    </w:p>
    <w:p>
      <w:pPr>
        <w:pStyle w:val="BodyText"/>
        <w:tabs>
          <w:tab w:val="clear" w:pos="709"/>
        </w:tabs>
        <w:autoSpaceDE w:val="false"/>
        <w:spacing w:lineRule="auto" w:line="240" w:before="28" w:after="28"/>
        <w:ind w:hanging="0" w:start="0" w:end="-1"/>
        <w:jc w:val="both"/>
        <w:rPr/>
      </w:pPr>
      <w:r>
        <w:rPr>
          <w:rStyle w:val="Fontepargpadro"/>
          <w:rFonts w:cs="Arial" w:ascii="Arial" w:hAnsi="Arial"/>
          <w:color w:val="000000"/>
          <w:sz w:val="20"/>
          <w:szCs w:val="20"/>
        </w:rPr>
        <w:t xml:space="preserve">CONTRATO QUE ENTRE SI CELEBRAM A </w:t>
      </w:r>
      <w:r>
        <w:rPr>
          <w:rStyle w:val="Fontepargpadro2"/>
          <w:rFonts w:eastAsia="Times New Roman" w:cs="Calibri" w:ascii="Arial" w:hAnsi="Arial"/>
          <w:caps/>
          <w:color w:val="000000"/>
          <w:sz w:val="20"/>
          <w:szCs w:val="20"/>
        </w:rPr>
        <w:t xml:space="preserve">Empresa De Tecnologia Da Informação Do Ceará – ETICE </w:t>
      </w:r>
      <w:r>
        <w:rPr>
          <w:rStyle w:val="Fontepargpadro"/>
          <w:rFonts w:cs="Arial" w:ascii="Arial" w:hAnsi="Arial"/>
          <w:color w:val="000000"/>
          <w:sz w:val="20"/>
          <w:szCs w:val="20"/>
        </w:rPr>
        <w:t>E (O) A _____________________, ABAIXO QUALIFICADOS, PARA O FIM QUE NELE SE DECLARA.</w:t>
      </w:r>
    </w:p>
    <w:p>
      <w:pPr>
        <w:pStyle w:val="BodyText"/>
        <w:tabs>
          <w:tab w:val="clear" w:pos="709"/>
        </w:tabs>
        <w:spacing w:lineRule="auto" w:line="240" w:before="28" w:after="28"/>
        <w:ind w:hanging="0" w:start="0" w:end="-1"/>
        <w:jc w:val="both"/>
        <w:rPr>
          <w:rFonts w:ascii="Arial" w:hAnsi="Arial" w:cs="Arial"/>
          <w:color w:val="000000"/>
          <w:sz w:val="20"/>
          <w:szCs w:val="20"/>
        </w:rPr>
      </w:pPr>
      <w:r>
        <w:rPr>
          <w:rFonts w:cs="Arial" w:ascii="Arial" w:hAnsi="Arial"/>
          <w:color w:val="000000"/>
          <w:sz w:val="20"/>
          <w:szCs w:val="20"/>
        </w:rPr>
      </w:r>
    </w:p>
    <w:p>
      <w:pPr>
        <w:pStyle w:val="Normal"/>
        <w:tabs>
          <w:tab w:val="clear" w:pos="709"/>
          <w:tab w:val="left" w:pos="0" w:leader="none"/>
        </w:tabs>
        <w:spacing w:before="28" w:after="28"/>
        <w:ind w:hanging="0" w:start="0" w:end="-1"/>
        <w:jc w:val="both"/>
        <w:rPr/>
      </w:pPr>
      <w:r>
        <w:rPr>
          <w:rStyle w:val="Fontepargpadro"/>
          <w:rFonts w:cs="Arial" w:ascii="Arial" w:hAnsi="Arial"/>
          <w:color w:val="000000"/>
          <w:sz w:val="20"/>
          <w:szCs w:val="20"/>
        </w:rPr>
        <w:t xml:space="preserve">A </w:t>
      </w:r>
      <w:r>
        <w:rPr>
          <w:rStyle w:val="Fontepargpadro2"/>
          <w:rFonts w:eastAsia="Times New Roman" w:cs="Calibri" w:ascii="Arial" w:hAnsi="Arial"/>
          <w:caps/>
          <w:color w:val="000000"/>
          <w:sz w:val="20"/>
          <w:szCs w:val="20"/>
        </w:rPr>
        <w:t>Empresa De Tecnologia Da Informação Do Ceará – ETICE</w:t>
      </w:r>
      <w:r>
        <w:rPr>
          <w:rStyle w:val="Fontepargpadro"/>
          <w:rFonts w:ascii="Arial" w:hAnsi="Arial"/>
          <w:color w:val="000000"/>
          <w:sz w:val="20"/>
          <w:szCs w:val="20"/>
        </w:rPr>
        <w:t xml:space="preserve">, situada na ______________________, inscrita(o) no CNPJ sob o nº __________________, doravante denominada(o) CONTRATANTE, neste ato representada(o) pelo _________________________________, (nacionalidade), portador da Carteira de Identidade nº _____________, e do CPF nº _______________, residente e domiciliada(o) em (Município - UF), na ________________________________, e a ____________________________, com sede na _________________________, CEP: ___________, Fone: ______________, inscrita no </w:t>
      </w:r>
      <w:r>
        <w:rPr>
          <w:rStyle w:val="Fontepargpadro"/>
          <w:rFonts w:cs="Arial" w:ascii="Arial" w:hAnsi="Arial"/>
          <w:color w:val="000000"/>
          <w:sz w:val="20"/>
          <w:szCs w:val="20"/>
        </w:rPr>
        <w:t>CPF/</w:t>
      </w:r>
      <w:r>
        <w:rPr>
          <w:rStyle w:val="Fontepargpadro"/>
          <w:rFonts w:ascii="Arial" w:hAnsi="Arial"/>
          <w:color w:val="000000"/>
          <w:sz w:val="20"/>
          <w:szCs w:val="20"/>
        </w:rPr>
        <w:t>CNPJ sob o nº __________________, doravante denominado CONTRATADO, representado neste ato pelo __________________, (nacionalidade), portador da Carteira de Identidade nº _____________, e do CPF nº __________________, residente e domiciliada(o) em (Município - UF), na ____________________________, têm entre si justa e acordada a celebração do presente contrato, mediante as cláusulas e condições seguintes:</w:t>
      </w:r>
    </w:p>
    <w:p>
      <w:pPr>
        <w:pStyle w:val="Normal"/>
        <w:spacing w:before="28" w:after="28"/>
        <w:ind w:hanging="0" w:start="0" w:end="-1"/>
        <w:jc w:val="both"/>
        <w:rPr/>
      </w:pPr>
      <w:r>
        <w:rPr>
          <w:rStyle w:val="Fontepargpadro"/>
          <w:rFonts w:ascii="Arial" w:hAnsi="Arial"/>
          <w:b/>
          <w:bCs/>
          <w:color w:val="000000"/>
          <w:sz w:val="20"/>
          <w:szCs w:val="20"/>
        </w:rPr>
        <w:t xml:space="preserve">CLÁUSULA PRIMEIRA – DA </w:t>
      </w:r>
      <w:r>
        <w:rPr>
          <w:rStyle w:val="Fontepargpadro"/>
          <w:rFonts w:cs="Verdana" w:ascii="Arial" w:hAnsi="Arial"/>
          <w:b/>
          <w:bCs/>
          <w:color w:val="000000"/>
          <w:sz w:val="20"/>
          <w:szCs w:val="20"/>
        </w:rPr>
        <w:t>FUNDAMENTAÇÃO</w:t>
      </w:r>
    </w:p>
    <w:p>
      <w:pPr>
        <w:pStyle w:val="Normal"/>
        <w:spacing w:before="28" w:after="28"/>
        <w:ind w:hanging="0" w:start="0" w:end="-1"/>
        <w:jc w:val="both"/>
        <w:rPr/>
      </w:pPr>
      <w:r>
        <w:rPr>
          <w:rStyle w:val="Fontepargpadro"/>
          <w:rFonts w:ascii="Arial" w:hAnsi="Arial"/>
          <w:color w:val="000000"/>
          <w:sz w:val="20"/>
          <w:szCs w:val="20"/>
        </w:rPr>
        <w:t>1.1. O presente contrato tem como fundamento o Pregão Eletrônico n° 20250005 e seus anexos, os preceitos do direito público, Lei Federal nº 14.133, de 1º de abril de 2021, e demais legislação aplicável ao cumprimento de seu objeto.</w:t>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b/>
          <w:bCs/>
          <w:color w:val="000000"/>
          <w:sz w:val="20"/>
          <w:szCs w:val="20"/>
        </w:rPr>
      </w:pPr>
      <w:r>
        <w:rPr>
          <w:rFonts w:cs="Verdana" w:ascii="Arial" w:hAnsi="Arial"/>
          <w:b/>
          <w:bCs/>
          <w:color w:val="000000"/>
          <w:sz w:val="20"/>
          <w:szCs w:val="20"/>
        </w:rPr>
        <w:t>CLÁUSULA SEGUNDA – DA VINCULAÇÃO AO EDITAL E A PROPOSTA</w:t>
      </w:r>
    </w:p>
    <w:p>
      <w:pPr>
        <w:pStyle w:val="Normal"/>
        <w:tabs>
          <w:tab w:val="clear" w:pos="709"/>
          <w:tab w:val="left" w:pos="993" w:leader="none"/>
          <w:tab w:val="left" w:pos="5742" w:leader="none"/>
        </w:tabs>
        <w:spacing w:before="28" w:after="28"/>
        <w:ind w:hanging="0" w:start="0" w:end="-1"/>
        <w:jc w:val="both"/>
        <w:rPr/>
      </w:pPr>
      <w:r>
        <w:rPr>
          <w:rStyle w:val="Fontepargpadro"/>
          <w:rFonts w:ascii="Arial" w:hAnsi="Arial"/>
          <w:color w:val="000000"/>
          <w:sz w:val="20"/>
          <w:szCs w:val="20"/>
        </w:rPr>
        <w:t>2.1. O cumprimento deste contrato está vinculado aos termos do edital do Pregão Eletrônico nº  20250005</w:t>
      </w:r>
      <w:r>
        <w:rPr>
          <w:rStyle w:val="Fontepargpadro"/>
          <w:rFonts w:cs="Arial" w:ascii="Arial" w:hAnsi="Arial"/>
          <w:i/>
          <w:iCs/>
          <w:color w:val="000000"/>
          <w:sz w:val="20"/>
          <w:szCs w:val="20"/>
        </w:rPr>
        <w:t xml:space="preserve">, </w:t>
      </w:r>
      <w:r>
        <w:rPr>
          <w:rStyle w:val="Fontepargpadro"/>
          <w:rFonts w:cs="Arial" w:ascii="Arial" w:hAnsi="Arial"/>
          <w:color w:val="000000"/>
          <w:sz w:val="20"/>
          <w:szCs w:val="20"/>
        </w:rPr>
        <w:t xml:space="preserve">o Termo de Referência, a proposta do contratado e eventuais anexos dos respectivos documentos </w:t>
      </w:r>
      <w:r>
        <w:rPr>
          <w:rStyle w:val="Fontepargpadro"/>
          <w:rFonts w:ascii="Arial" w:hAnsi="Arial"/>
          <w:color w:val="000000"/>
          <w:sz w:val="20"/>
          <w:szCs w:val="20"/>
        </w:rPr>
        <w:t>os quais constituem parte deste instrumento, independente de sua transcrição.</w:t>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b/>
          <w:bCs/>
          <w:color w:val="000000"/>
          <w:sz w:val="20"/>
          <w:szCs w:val="20"/>
        </w:rPr>
      </w:pPr>
      <w:r>
        <w:rPr>
          <w:rFonts w:cs="Verdana" w:ascii="Arial" w:hAnsi="Arial"/>
          <w:b/>
          <w:bCs/>
          <w:color w:val="000000"/>
          <w:sz w:val="20"/>
          <w:szCs w:val="20"/>
        </w:rPr>
        <w:t>CLÁUSULA TERCEIRA – DO OBJETO</w:t>
      </w:r>
    </w:p>
    <w:p>
      <w:pPr>
        <w:pStyle w:val="Normal"/>
        <w:tabs>
          <w:tab w:val="clear" w:pos="709"/>
          <w:tab w:val="left" w:pos="993" w:leader="none"/>
          <w:tab w:val="left" w:pos="5742" w:leader="none"/>
        </w:tabs>
        <w:spacing w:before="28" w:after="28"/>
        <w:ind w:hanging="0" w:start="0" w:end="-1"/>
        <w:jc w:val="both"/>
        <w:rPr/>
      </w:pPr>
      <w:r>
        <w:rPr>
          <w:rStyle w:val="Fontepargpadro"/>
          <w:rFonts w:eastAsia="Times-Roman;Times New Roman" w:cs="Verdana" w:ascii="Arial" w:hAnsi="Arial"/>
          <w:color w:val="000000"/>
          <w:sz w:val="20"/>
          <w:szCs w:val="20"/>
        </w:rPr>
        <w:t xml:space="preserve">3.1. O objeto do presente instrumento é a </w:t>
      </w:r>
      <w:r>
        <w:rPr>
          <w:rStyle w:val="Fontepargpadro"/>
          <w:rFonts w:eastAsia="Times-Roman;Times New Roman" w:cs="Arial" w:ascii="Arial" w:hAnsi="Arial"/>
          <w:color w:val="000000"/>
          <w:sz w:val="20"/>
          <w:szCs w:val="20"/>
        </w:rPr>
        <w:t xml:space="preserve">prestação dos serviços de </w:t>
      </w:r>
      <w:r>
        <w:rPr>
          <w:rStyle w:val="Fontepargpadro"/>
          <w:rFonts w:eastAsia="Times-Roman;Times New Roman" w:cs="Arial" w:ascii="Arial" w:hAnsi="Arial"/>
          <w:color w:val="000000"/>
          <w:sz w:val="20"/>
          <w:szCs w:val="20"/>
        </w:rPr>
        <w:t>f</w:t>
      </w:r>
      <w:r>
        <w:rPr>
          <w:rStyle w:val="Fontepargpadro"/>
          <w:rFonts w:eastAsia="Times-Roman;Times New Roman" w:cs="Arial" w:ascii="Arial" w:hAnsi="Arial"/>
          <w:color w:val="000000"/>
          <w:sz w:val="20"/>
          <w:szCs w:val="20"/>
        </w:rPr>
        <w:t xml:space="preserve">ornecimento e instalação de Enlaces de conectividade IP (Internet Protocol), Versões 4 e 6, entre a rede da CONTRATADA e a rede Internet Mundial, de acordo com as </w:t>
      </w:r>
      <w:r>
        <w:rPr>
          <w:rStyle w:val="Fontepargpadro"/>
          <w:rFonts w:eastAsia="Times-Roman;Times New Roman" w:cs="Verdana" w:ascii="Arial" w:hAnsi="Arial"/>
          <w:color w:val="000000"/>
          <w:sz w:val="20"/>
          <w:szCs w:val="20"/>
        </w:rPr>
        <w:t>condições estabelecidas neste contrato e no Termo de Referência do edital e na proposta do CONTRATADO.</w:t>
      </w:r>
    </w:p>
    <w:p>
      <w:pPr>
        <w:pStyle w:val="BodyText"/>
        <w:tabs>
          <w:tab w:val="clear" w:pos="709"/>
          <w:tab w:val="left" w:pos="993" w:leader="none"/>
          <w:tab w:val="left" w:pos="5742" w:leader="none"/>
        </w:tabs>
        <w:spacing w:lineRule="auto" w:line="240" w:before="28" w:after="28"/>
        <w:ind w:hanging="0" w:start="0" w:end="-1"/>
        <w:jc w:val="both"/>
        <w:rPr>
          <w:rFonts w:ascii="Arial" w:hAnsi="Arial"/>
          <w:b/>
          <w:bCs/>
          <w:color w:val="000000"/>
          <w:sz w:val="20"/>
          <w:szCs w:val="20"/>
        </w:rPr>
      </w:pPr>
      <w:r>
        <w:rPr>
          <w:rFonts w:ascii="Arial" w:hAnsi="Arial"/>
          <w:b/>
          <w:bCs/>
          <w:color w:val="000000"/>
          <w:sz w:val="20"/>
          <w:szCs w:val="20"/>
        </w:rPr>
        <w:t>CLÁUSULA QUARTA – DA VIGÊNCIA E PRORROGAÇÃO</w:t>
      </w:r>
    </w:p>
    <w:p>
      <w:pPr>
        <w:pStyle w:val="Normal"/>
        <w:tabs>
          <w:tab w:val="clear" w:pos="709"/>
          <w:tab w:val="left" w:pos="993" w:leader="none"/>
          <w:tab w:val="left" w:pos="5742" w:leader="none"/>
        </w:tabs>
        <w:spacing w:before="28" w:after="28"/>
        <w:ind w:hanging="0" w:start="0" w:end="-1"/>
        <w:jc w:val="both"/>
        <w:rPr/>
      </w:pPr>
      <w:r>
        <w:rPr>
          <w:rStyle w:val="Fontepargpadro"/>
          <w:rFonts w:cs="Verdana" w:ascii="Arial" w:hAnsi="Arial"/>
          <w:color w:val="000000"/>
          <w:sz w:val="20"/>
          <w:szCs w:val="20"/>
        </w:rPr>
        <w:t xml:space="preserve">4.1. </w:t>
      </w:r>
      <w:r>
        <w:rPr>
          <w:rStyle w:val="Fontepargpadro"/>
          <w:rFonts w:eastAsia="Arial" w:cs="Arial" w:ascii="Arial" w:hAnsi="Arial"/>
          <w:color w:val="000000"/>
          <w:sz w:val="20"/>
          <w:szCs w:val="20"/>
          <w:lang w:val="pt-PT"/>
        </w:rPr>
        <w:t xml:space="preserve"> O pr</w:t>
      </w:r>
      <w:r>
        <w:rPr>
          <w:rStyle w:val="Fontepargpadro"/>
          <w:rFonts w:eastAsia="Arial" w:cs="Verdana" w:ascii="Arial" w:hAnsi="Arial"/>
          <w:color w:val="000000"/>
          <w:sz w:val="20"/>
          <w:szCs w:val="20"/>
          <w:shd w:fill="FFFFFF" w:val="clear"/>
          <w:lang w:val="pt-PT"/>
        </w:rPr>
        <w:t xml:space="preserve">azo de </w:t>
      </w:r>
      <w:r>
        <w:rPr>
          <w:rStyle w:val="Fontepargpadro"/>
          <w:rFonts w:eastAsia="Arial" w:cs="Verdana" w:ascii="Arial" w:hAnsi="Arial"/>
          <w:color w:val="000000"/>
          <w:sz w:val="20"/>
          <w:szCs w:val="20"/>
          <w:lang w:val="pt-PT"/>
        </w:rPr>
        <w:t>vigência</w:t>
      </w:r>
      <w:r>
        <w:rPr>
          <w:rStyle w:val="Fontepargpadro"/>
          <w:rFonts w:eastAsia="Arial" w:cs="Verdana" w:ascii="Arial" w:hAnsi="Arial"/>
          <w:color w:val="000000"/>
          <w:sz w:val="20"/>
          <w:szCs w:val="20"/>
          <w:shd w:fill="FFFFFF" w:val="clear"/>
          <w:lang w:val="pt-PT"/>
        </w:rPr>
        <w:t xml:space="preserve"> </w:t>
      </w:r>
      <w:r>
        <w:rPr>
          <w:rStyle w:val="Fontepargpadro"/>
          <w:rFonts w:eastAsia="Arial" w:cs="Arial" w:ascii="Arial" w:hAnsi="Arial"/>
          <w:color w:val="000000"/>
          <w:sz w:val="20"/>
          <w:szCs w:val="20"/>
          <w:shd w:fill="FFFFFF" w:val="clear"/>
          <w:lang w:val="pt-PT"/>
        </w:rPr>
        <w:t>deste contrato é de</w:t>
      </w:r>
      <w:r>
        <w:rPr>
          <w:rStyle w:val="Fontepargpadro"/>
          <w:rFonts w:eastAsia="Arial" w:cs="Verdana" w:ascii="Arial" w:hAnsi="Arial"/>
          <w:color w:val="000000"/>
          <w:sz w:val="20"/>
          <w:szCs w:val="20"/>
          <w:shd w:fill="FFFFFF" w:val="clear"/>
          <w:lang w:val="pt-PT"/>
        </w:rPr>
        <w:t xml:space="preserve"> 12 (doze) meses, na forma do art. 105 c/c o art. 94 ambos da Lei n° </w:t>
      </w:r>
      <w:r>
        <w:rPr>
          <w:rStyle w:val="Fontepargpadro"/>
          <w:rFonts w:eastAsia="Calibri" w:cs="Calibri" w:ascii="Arial" w:hAnsi="Arial"/>
          <w:color w:val="000000"/>
          <w:sz w:val="20"/>
          <w:szCs w:val="20"/>
        </w:rPr>
        <w:t>14.133/2021</w:t>
      </w:r>
      <w:r>
        <w:rPr>
          <w:rStyle w:val="Fontepargpadro"/>
          <w:rFonts w:eastAsia="Arial" w:cs="Arial" w:ascii="Arial" w:hAnsi="Arial"/>
          <w:color w:val="000000"/>
          <w:sz w:val="20"/>
          <w:szCs w:val="20"/>
          <w:lang w:val="pt-PT"/>
        </w:rPr>
        <w:t xml:space="preserve">, </w:t>
      </w:r>
      <w:r>
        <w:rPr>
          <w:rStyle w:val="Fontepargpadro"/>
          <w:rFonts w:cs="Verdana" w:ascii="Arial" w:hAnsi="Arial"/>
          <w:color w:val="000000"/>
          <w:sz w:val="20"/>
          <w:szCs w:val="20"/>
          <w:lang w:val="pt-PT"/>
        </w:rPr>
        <w:t xml:space="preserve">admitindo-se a prorrogação </w:t>
      </w:r>
      <w:r>
        <w:rPr>
          <w:rStyle w:val="Fontepargpadro"/>
          <w:rFonts w:eastAsia="Arial" w:cs="Arial" w:ascii="Arial" w:hAnsi="Arial"/>
          <w:color w:val="000000"/>
          <w:sz w:val="20"/>
          <w:szCs w:val="20"/>
          <w:lang w:val="pt-PT"/>
        </w:rPr>
        <w:t>desde que a autoridade competente ateste que as condições e os preços permanecem vantajosos para a Administração, permitida a negociação com o CONTRATADO.</w:t>
      </w:r>
    </w:p>
    <w:p>
      <w:pPr>
        <w:pStyle w:val="BodyText"/>
        <w:spacing w:lineRule="auto" w:line="240" w:before="28" w:after="28"/>
        <w:ind w:hanging="0" w:start="0" w:end="-1"/>
        <w:jc w:val="both"/>
        <w:rPr/>
      </w:pPr>
      <w:r>
        <w:rPr>
          <w:rStyle w:val="Fontepargpadro"/>
          <w:rFonts w:ascii="Arial" w:hAnsi="Arial"/>
          <w:b/>
          <w:bCs/>
          <w:color w:val="000000"/>
          <w:sz w:val="20"/>
          <w:szCs w:val="20"/>
        </w:rPr>
        <w:t xml:space="preserve">CLÁUSULA QUINTA – </w:t>
      </w:r>
      <w:r>
        <w:rPr>
          <w:rStyle w:val="Fontepargpadro"/>
          <w:rFonts w:eastAsia="Arial" w:cs="Arial" w:ascii="Arial" w:hAnsi="Arial"/>
          <w:b/>
          <w:bCs/>
          <w:color w:val="000000"/>
          <w:sz w:val="20"/>
          <w:szCs w:val="20"/>
        </w:rPr>
        <w:t>DA EXECUÇÃO CONTRATUAL</w:t>
      </w:r>
    </w:p>
    <w:p>
      <w:pPr>
        <w:pStyle w:val="Normal"/>
        <w:tabs>
          <w:tab w:val="clear" w:pos="709"/>
          <w:tab w:val="left" w:pos="993" w:leader="none"/>
          <w:tab w:val="left" w:pos="5742" w:leader="none"/>
        </w:tabs>
        <w:spacing w:before="28" w:after="28"/>
        <w:ind w:hanging="0" w:start="0" w:end="-1"/>
        <w:jc w:val="both"/>
        <w:rPr/>
      </w:pPr>
      <w:r>
        <w:rPr>
          <w:rStyle w:val="Fontepargpadro"/>
          <w:rFonts w:eastAsia="Times-Roman;Times New Roman" w:ascii="Arial" w:hAnsi="Arial"/>
          <w:color w:val="000000"/>
          <w:sz w:val="20"/>
          <w:szCs w:val="20"/>
        </w:rPr>
        <w:t xml:space="preserve">5.1. </w:t>
      </w:r>
      <w:r>
        <w:rPr>
          <w:rStyle w:val="Fontepargpadro"/>
          <w:rFonts w:eastAsia="Arial" w:cs="Verdana" w:ascii="Arial" w:hAnsi="Arial"/>
          <w:color w:val="000000"/>
          <w:sz w:val="20"/>
          <w:szCs w:val="20"/>
          <w:lang w:eastAsia="ar-SA"/>
        </w:rPr>
        <w:t>O</w:t>
      </w:r>
      <w:r>
        <w:rPr>
          <w:rStyle w:val="Fontepargpadro"/>
          <w:rFonts w:eastAsia="Times-Roman;Times New Roman" w:ascii="Arial" w:hAnsi="Arial"/>
          <w:color w:val="000000"/>
          <w:sz w:val="20"/>
          <w:szCs w:val="20"/>
        </w:rPr>
        <w:t xml:space="preserve"> regime de execução indireta se dará por </w:t>
      </w:r>
      <w:r>
        <w:rPr>
          <w:rStyle w:val="Fontepargpadro"/>
          <w:rFonts w:eastAsia="Times New Roman" w:ascii="Arial" w:hAnsi="Arial"/>
          <w:color w:val="000000"/>
          <w:sz w:val="20"/>
          <w:szCs w:val="20"/>
        </w:rPr>
        <w:t>empreitada por preço unitário.</w:t>
      </w:r>
    </w:p>
    <w:p>
      <w:pPr>
        <w:pStyle w:val="BodyText"/>
        <w:tabs>
          <w:tab w:val="clear" w:pos="709"/>
          <w:tab w:val="left" w:pos="-2184" w:leader="none"/>
          <w:tab w:val="left" w:pos="1077" w:leader="none"/>
        </w:tabs>
        <w:spacing w:lineRule="auto" w:line="240" w:before="28" w:after="28"/>
        <w:ind w:hanging="0" w:start="0" w:end="-1"/>
        <w:jc w:val="both"/>
        <w:rPr/>
      </w:pPr>
      <w:r>
        <w:rPr>
          <w:rStyle w:val="Hyperlink"/>
          <w:rFonts w:eastAsia="Arial" w:ascii="Arial" w:hAnsi="Arial"/>
          <w:color w:val="000000"/>
          <w:sz w:val="20"/>
          <w:szCs w:val="20"/>
          <w:u w:val="none"/>
        </w:rPr>
        <w:t>5.2. Os prazos e condições de conclusão, entrega, recebimento do objeto, obrigações e demais condições constam no Termo de Referência, anexo a este contrato.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rPr>
        <w:t>CLÁUSULA SEXTA – DA SUBCONTRATAÇÃO</w:t>
      </w:r>
    </w:p>
    <w:p>
      <w:pPr>
        <w:pStyle w:val="BodyText"/>
        <w:tabs>
          <w:tab w:val="clear" w:pos="709"/>
          <w:tab w:val="left" w:pos="793" w:leader="none"/>
        </w:tabs>
        <w:spacing w:lineRule="auto" w:line="240" w:before="28" w:after="28"/>
        <w:ind w:hanging="0" w:start="0" w:end="-1"/>
        <w:jc w:val="both"/>
        <w:rPr/>
      </w:pPr>
      <w:r>
        <w:rPr>
          <w:rStyle w:val="Fontepargpadro"/>
          <w:rFonts w:eastAsia="Times New Roman" w:ascii="Arial" w:hAnsi="Arial"/>
          <w:color w:val="000000"/>
          <w:sz w:val="20"/>
          <w:szCs w:val="20"/>
          <w:lang w:eastAsia="ar-SA" w:bidi="ar-SA"/>
        </w:rPr>
        <w:t xml:space="preserve">6.1. </w:t>
      </w:r>
      <w:r>
        <w:rPr>
          <w:rStyle w:val="Fontepargpadro"/>
          <w:rFonts w:eastAsia="Arial" w:ascii="Arial" w:hAnsi="Arial"/>
          <w:color w:val="000000"/>
          <w:sz w:val="20"/>
          <w:szCs w:val="20"/>
          <w:lang w:eastAsia="ar-SA" w:bidi="ar-SA"/>
        </w:rPr>
        <w:t>Será admitida a subcontratação parcial do objeto contratual nos termos estabelecidos no subitem 6.1 do Termo de Referência.</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lang w:val="pt-PT"/>
        </w:rPr>
        <w:t>CLÁUSULA SÉTIMA – DO PREÇO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cs="Arial" w:ascii="Arial" w:hAnsi="Arial"/>
          <w:color w:val="000000"/>
          <w:sz w:val="20"/>
          <w:szCs w:val="20"/>
          <w:lang w:val="pt-PT"/>
        </w:rPr>
        <w:t xml:space="preserve">7.1. </w:t>
      </w:r>
      <w:r>
        <w:rPr>
          <w:rStyle w:val="Fontepargpadro"/>
          <w:rFonts w:eastAsia="Arial" w:cs="Arial" w:ascii="Arial" w:hAnsi="Arial"/>
          <w:color w:val="000000"/>
          <w:sz w:val="20"/>
          <w:szCs w:val="20"/>
          <w:lang w:val="pt-PT" w:eastAsia="en-US"/>
        </w:rPr>
        <w:t xml:space="preserve">O valor mensal da contratação do item _________ (Enlace) é de R$ ______ (_____), perfazendo o valor total de R$ ______. Para o item _________ (de instalação), </w:t>
      </w:r>
      <w:r>
        <w:rPr>
          <w:rStyle w:val="Fontepargpadro"/>
          <w:rFonts w:eastAsia="Arial" w:cs="Arial" w:ascii="Arial" w:hAnsi="Arial"/>
          <w:color w:val="000000"/>
          <w:sz w:val="20"/>
          <w:szCs w:val="20"/>
          <w:lang w:val="pt-PT"/>
        </w:rPr>
        <w:t xml:space="preserve"> o valor total da contratação é de R$ _____ (______).</w:t>
      </w:r>
    </w:p>
    <w:p>
      <w:pPr>
        <w:pStyle w:val="Nvel4-R"/>
        <w:tabs>
          <w:tab w:val="left" w:pos="5826" w:leader="none"/>
        </w:tabs>
        <w:spacing w:lineRule="auto" w:line="240" w:before="28" w:after="28"/>
        <w:ind w:hanging="0" w:start="0" w:end="-1"/>
        <w:jc w:val="both"/>
        <w:rPr/>
      </w:pPr>
      <w:r>
        <w:rPr>
          <w:rStyle w:val="Fontepargpadro"/>
          <w:i w:val="false"/>
          <w:iCs w:val="false"/>
          <w:color w:val="000000"/>
          <w:sz w:val="20"/>
          <w:szCs w:val="20"/>
          <w:lang w:val="pt-PT" w:eastAsia="ar-SA"/>
        </w:rPr>
        <w:t>7.1.1.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rPr>
        <w:t>CLÁUSULA OITAVA – DO PAGAMENTO E DO RECEBIMENTO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eastAsia="ar-SA" w:bidi="ar-SA"/>
        </w:rPr>
        <w:t xml:space="preserve">8.1. O prazo para pagamento </w:t>
      </w:r>
      <w:r>
        <w:rPr>
          <w:rStyle w:val="Fontepargpadro"/>
          <w:rFonts w:eastAsia="Arial" w:ascii="Arial" w:hAnsi="Arial"/>
          <w:color w:val="000000"/>
          <w:sz w:val="20"/>
          <w:szCs w:val="20"/>
          <w:lang w:eastAsia="en-US" w:bidi="ar-SA"/>
        </w:rPr>
        <w:t>ao CONTRATADO</w:t>
      </w:r>
      <w:r>
        <w:rPr>
          <w:rStyle w:val="Fontepargpadro"/>
          <w:rFonts w:eastAsia="Arial" w:ascii="Arial" w:hAnsi="Arial"/>
          <w:color w:val="000000"/>
          <w:sz w:val="20"/>
          <w:szCs w:val="20"/>
          <w:lang w:eastAsia="ar-SA" w:bidi="ar-SA"/>
        </w:rPr>
        <w:t xml:space="preserve"> e demais condições a ele referentes, bem como, as condições de recebimento, se encontram definidos no Termo de Referência, anexo a este instrumento de contrato.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lang w:val="pt-PT"/>
        </w:rPr>
        <w:t>CLÁUSULA NONA – DO REAJUSTE</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rPr>
        <w:t xml:space="preserve">9.1. Os preços inicialmente contratados são fixos e irreajustáveis no prazo de um ano contado da data </w:t>
      </w:r>
      <w:r>
        <w:rPr>
          <w:rStyle w:val="Fontepargpadro"/>
          <w:rFonts w:eastAsia="Arial" w:ascii="Arial" w:hAnsi="Arial"/>
          <w:color w:val="000000"/>
          <w:sz w:val="20"/>
          <w:szCs w:val="20"/>
          <w:lang w:val="pt-PT"/>
        </w:rPr>
        <w:t xml:space="preserve">do orçamento estimado, ou seja, a data da pesquisa constante no Mapa Comparativo de Preços, datado de </w:t>
      </w:r>
      <w:r>
        <w:rPr>
          <w:rStyle w:val="Fontepargpadro"/>
          <w:rFonts w:eastAsia="Arial" w:ascii="Arial" w:hAnsi="Arial"/>
          <w:color w:val="000000"/>
          <w:sz w:val="20"/>
          <w:szCs w:val="20"/>
          <w:lang w:val="pt-PT"/>
        </w:rPr>
        <w:t>1</w:t>
      </w:r>
      <w:r>
        <w:rPr>
          <w:rStyle w:val="Fontepargpadro"/>
          <w:rFonts w:eastAsia="Arial" w:ascii="Arial" w:hAnsi="Arial"/>
          <w:color w:val="000000"/>
          <w:sz w:val="20"/>
          <w:szCs w:val="20"/>
          <w:lang w:val="pt-PT"/>
        </w:rPr>
        <w:t>9</w:t>
      </w:r>
      <w:r>
        <w:rPr>
          <w:rStyle w:val="Fontepargpadro"/>
          <w:rFonts w:eastAsia="Arial" w:ascii="Arial" w:hAnsi="Arial"/>
          <w:color w:val="000000"/>
          <w:sz w:val="20"/>
          <w:szCs w:val="20"/>
          <w:lang w:val="pt-PT"/>
        </w:rPr>
        <w:t>/</w:t>
      </w:r>
      <w:r>
        <w:rPr>
          <w:rStyle w:val="Fontepargpadro"/>
          <w:rFonts w:eastAsia="Arial" w:ascii="Arial" w:hAnsi="Arial"/>
          <w:color w:val="000000"/>
          <w:sz w:val="20"/>
          <w:szCs w:val="20"/>
          <w:lang w:val="pt-PT"/>
        </w:rPr>
        <w:t>11</w:t>
      </w:r>
      <w:r>
        <w:rPr>
          <w:rStyle w:val="Fontepargpadro"/>
          <w:rFonts w:eastAsia="Arial" w:ascii="Arial" w:hAnsi="Arial"/>
          <w:color w:val="000000"/>
          <w:sz w:val="20"/>
          <w:szCs w:val="20"/>
          <w:lang w:val="pt-PT"/>
        </w:rPr>
        <w:t>/</w:t>
      </w:r>
      <w:r>
        <w:rPr>
          <w:rStyle w:val="Fontepargpadro"/>
          <w:rFonts w:eastAsia="Arial" w:ascii="Arial" w:hAnsi="Arial"/>
          <w:color w:val="000000"/>
          <w:sz w:val="20"/>
          <w:szCs w:val="20"/>
          <w:lang w:val="pt-PT"/>
        </w:rPr>
        <w:t>2025</w:t>
      </w:r>
      <w:r>
        <w:rPr>
          <w:rStyle w:val="Fontepargpadro"/>
          <w:rFonts w:eastAsia="Arial" w:ascii="Arial" w:hAnsi="Arial"/>
          <w:color w:val="000000"/>
          <w:sz w:val="20"/>
          <w:szCs w:val="20"/>
          <w:lang w:val="pt-PT"/>
        </w:rPr>
        <w:t>.</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rPr>
        <w:t>9.2. Após o interregno de um ano, os preços iniciais poderão ser reajustados, mediante a aplicação do índice IPCA</w:t>
      </w:r>
      <w:r>
        <w:rPr>
          <w:rStyle w:val="Fontepargpadro"/>
          <w:color w:val="000000"/>
          <w:sz w:val="20"/>
          <w:szCs w:val="20"/>
        </w:rPr>
        <w:t>,</w:t>
      </w:r>
      <w:r>
        <w:rPr>
          <w:rStyle w:val="Fontepargpadro"/>
          <w:i w:val="false"/>
          <w:iCs w:val="false"/>
          <w:color w:val="000000"/>
          <w:sz w:val="20"/>
          <w:szCs w:val="20"/>
        </w:rPr>
        <w:t xml:space="preserve"> exclusivamente para as obrigações iniciadas e concluídas após a ocorrência da anualidade.</w:t>
      </w:r>
    </w:p>
    <w:p>
      <w:pPr>
        <w:pStyle w:val="Normal"/>
        <w:widowControl/>
        <w:tabs>
          <w:tab w:val="clear" w:pos="709"/>
          <w:tab w:val="left" w:pos="-2184" w:leader="none"/>
          <w:tab w:val="left" w:pos="1077" w:leader="none"/>
        </w:tabs>
        <w:autoSpaceDE w:val="true"/>
        <w:spacing w:lineRule="auto" w:line="240" w:before="57" w:after="57"/>
        <w:ind w:hanging="0" w:start="0" w:end="0"/>
        <w:jc w:val="both"/>
        <w:rPr/>
      </w:pPr>
      <w:r>
        <w:rPr>
          <w:rStyle w:val="Fontepargpadro"/>
          <w:rFonts w:eastAsia="Arial" w:cs="Arial" w:ascii="ArialMT" w:hAnsi="ArialMT"/>
          <w:b w:val="false"/>
          <w:bCs w:val="false"/>
          <w:i w:val="false"/>
          <w:iCs w:val="false"/>
          <w:color w:val="000000"/>
          <w:sz w:val="20"/>
          <w:szCs w:val="20"/>
          <w:u w:val="none"/>
          <w:shd w:fill="auto" w:val="clear"/>
          <w:lang w:val="pt-BR"/>
        </w:rPr>
        <w:t>9.</w:t>
      </w:r>
      <w:r>
        <w:rPr>
          <w:rStyle w:val="Fontepargpadro"/>
          <w:rFonts w:eastAsia="Arial" w:cs="Arial" w:ascii="ArialMT" w:hAnsi="ArialMT"/>
          <w:b w:val="false"/>
          <w:bCs w:val="false"/>
          <w:i w:val="false"/>
          <w:iCs w:val="false"/>
          <w:color w:val="000000"/>
          <w:sz w:val="20"/>
          <w:szCs w:val="20"/>
          <w:u w:val="none"/>
          <w:shd w:fill="auto" w:val="clear"/>
          <w:lang w:val="pt-BR"/>
        </w:rPr>
        <w:t>2</w:t>
      </w:r>
      <w:r>
        <w:rPr>
          <w:rStyle w:val="Fontepargpadro"/>
          <w:rFonts w:eastAsia="Arial" w:cs="Arial" w:ascii="ArialMT" w:hAnsi="ArialMT"/>
          <w:b w:val="false"/>
          <w:bCs w:val="false"/>
          <w:i w:val="false"/>
          <w:iCs w:val="false"/>
          <w:color w:val="000000"/>
          <w:sz w:val="20"/>
          <w:szCs w:val="20"/>
          <w:u w:val="none"/>
          <w:shd w:fill="auto" w:val="clear"/>
          <w:lang w:val="pt-BR"/>
        </w:rPr>
        <w:t>.</w:t>
      </w:r>
      <w:r>
        <w:rPr>
          <w:rStyle w:val="Fontepargpadro"/>
          <w:rFonts w:eastAsia="Arial" w:cs="Arial" w:ascii="ArialMT" w:hAnsi="ArialMT"/>
          <w:b w:val="false"/>
          <w:bCs w:val="false"/>
          <w:i w:val="false"/>
          <w:iCs w:val="false"/>
          <w:color w:val="000000"/>
          <w:sz w:val="20"/>
          <w:szCs w:val="20"/>
          <w:u w:val="none"/>
          <w:shd w:fill="auto" w:val="clear"/>
          <w:lang w:val="pt-BR"/>
        </w:rPr>
        <w:t>1.</w:t>
      </w:r>
      <w:r>
        <w:rPr>
          <w:rStyle w:val="Fontepargpadro"/>
          <w:rFonts w:eastAsia="Arial" w:cs="Arial" w:ascii="ArialMT" w:hAnsi="ArialMT"/>
          <w:b w:val="false"/>
          <w:bCs w:val="false"/>
          <w:i w:val="false"/>
          <w:iCs w:val="false"/>
          <w:color w:val="000000"/>
          <w:sz w:val="20"/>
          <w:szCs w:val="20"/>
          <w:u w:val="none"/>
          <w:shd w:fill="auto" w:val="clear"/>
          <w:lang w:val="pt-BR"/>
        </w:rPr>
        <w:t xml:space="preserve"> Os reajustes deverão ser precedidos de solicitação da CONTRATADA.</w:t>
      </w:r>
    </w:p>
    <w:p>
      <w:pPr>
        <w:pStyle w:val="Normal"/>
        <w:jc w:val="both"/>
        <w:rPr>
          <w:rFonts w:ascii="ArialMT" w:hAnsi="ArialMT"/>
          <w:color w:val="000000"/>
          <w:sz w:val="20"/>
          <w:szCs w:val="20"/>
          <w:shd w:fill="auto" w:val="clear"/>
        </w:rPr>
      </w:pPr>
      <w:r>
        <w:rPr>
          <w:rFonts w:ascii="ArialMT" w:hAnsi="ArialMT"/>
          <w:color w:val="000000"/>
          <w:sz w:val="20"/>
          <w:szCs w:val="20"/>
          <w:shd w:fill="auto" w:val="clear"/>
        </w:rPr>
        <w:t xml:space="preserve">9.2.1.1. Caso a CONTRATADA não solicite tempestivamente o reajuste e prorrogue o contrato sem pleiteá-lo, ocorrerá a preclusão </w:t>
      </w:r>
      <w:r>
        <w:rPr>
          <w:rFonts w:ascii="ArialMT" w:hAnsi="ArialMT"/>
          <w:color w:val="000000"/>
          <w:sz w:val="20"/>
          <w:szCs w:val="20"/>
          <w:shd w:fill="auto" w:val="clear"/>
        </w:rPr>
        <w:t xml:space="preserve">lógica </w:t>
      </w:r>
      <w:r>
        <w:rPr>
          <w:rFonts w:ascii="ArialMT" w:hAnsi="ArialMT"/>
          <w:color w:val="000000"/>
          <w:sz w:val="20"/>
          <w:szCs w:val="20"/>
          <w:shd w:fill="auto" w:val="clear"/>
        </w:rPr>
        <w:t>do direito.</w:t>
      </w:r>
    </w:p>
    <w:p>
      <w:pPr>
        <w:pStyle w:val="Normal"/>
        <w:jc w:val="both"/>
        <w:rPr/>
      </w:pPr>
      <w:r>
        <w:rPr>
          <w:rStyle w:val="Fontepargpadro"/>
          <w:rFonts w:eastAsia="Arial" w:cs="Arial" w:ascii="ArialMT" w:hAnsi="ArialMT"/>
          <w:b w:val="false"/>
          <w:bCs w:val="false"/>
          <w:i w:val="false"/>
          <w:iCs w:val="false"/>
          <w:color w:val="000000"/>
          <w:sz w:val="20"/>
          <w:szCs w:val="20"/>
          <w:u w:val="none"/>
          <w:shd w:fill="auto" w:val="clear"/>
          <w:lang w:val="pt-BR"/>
        </w:rPr>
        <w:t xml:space="preserve">9.2.1.2. Também ocorrerá a preclusão </w:t>
      </w:r>
      <w:r>
        <w:rPr>
          <w:rStyle w:val="Fontepargpadro"/>
          <w:rFonts w:eastAsia="Arial" w:cs="Arial" w:ascii="ArialMT" w:hAnsi="ArialMT"/>
          <w:b w:val="false"/>
          <w:bCs w:val="false"/>
          <w:i w:val="false"/>
          <w:iCs w:val="false"/>
          <w:color w:val="000000"/>
          <w:sz w:val="20"/>
          <w:szCs w:val="20"/>
          <w:u w:val="none"/>
          <w:shd w:fill="auto" w:val="clear"/>
          <w:lang w:val="pt-BR"/>
        </w:rPr>
        <w:t xml:space="preserve">lógica </w:t>
      </w:r>
      <w:r>
        <w:rPr>
          <w:rStyle w:val="Fontepargpadro"/>
          <w:rFonts w:eastAsia="Arial" w:cs="Arial" w:ascii="ArialMT" w:hAnsi="ArialMT"/>
          <w:b w:val="false"/>
          <w:bCs w:val="false"/>
          <w:i w:val="false"/>
          <w:iCs w:val="false"/>
          <w:color w:val="000000"/>
          <w:sz w:val="20"/>
          <w:szCs w:val="20"/>
          <w:u w:val="none"/>
          <w:shd w:fill="auto" w:val="clear"/>
          <w:lang w:val="pt-BR"/>
        </w:rPr>
        <w:t>do direito ao reajuste se o pedido for formulado depois de extinto o contrato.</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rPr>
        <w:t>9.3. Nos reajustes subsequentes ao primeiro, o interregno mínimo de um ano será contado a partir dos efeitos financeiros do último reajuste.</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rPr>
        <w:t>9.4. No caso de atraso ou não divulgação do(s) índice (s) de reajustamento, o CONTRATANTE pagará ao CONTRATADO a importância calculada pela última variação conhecida, liquidando a diferença correspondente tão logo seja(m) divulgado(s) o(s) índice(s) definitivo(s).</w:t>
      </w:r>
    </w:p>
    <w:p>
      <w:pPr>
        <w:pStyle w:val="Nivel2"/>
        <w:tabs>
          <w:tab w:val="clear" w:pos="709"/>
          <w:tab w:val="left" w:pos="-2184" w:leader="none"/>
          <w:tab w:val="left" w:pos="1077" w:leader="none"/>
        </w:tabs>
        <w:spacing w:lineRule="auto" w:line="240" w:before="28" w:after="28"/>
        <w:ind w:hanging="0" w:start="0" w:end="-1"/>
        <w:jc w:val="both"/>
        <w:rPr/>
      </w:pPr>
      <w:r>
        <w:rPr>
          <w:rStyle w:val="Fontepargpadro"/>
          <w:color w:val="000000"/>
          <w:sz w:val="20"/>
          <w:szCs w:val="20"/>
          <w:lang w:val="pt-PT"/>
        </w:rPr>
        <w:t>9.5. Nas aferições finais, o(s) índice(s) utilizado(s) para reajuste será(ão), obrigatoriamente, o(s) definitivo(s).</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lang w:val="pt-PT"/>
        </w:rPr>
        <w:t>9.6. Caso o(s) índice(s) estabelecido(s) para reajustamento venha(m) a ser extinto(s) ou de qualquer forma não possa(m) mais ser utilizado(s), será(ão) adotado(s), em substituição, o(s) que vier(em) a ser determinado(s) pela legislação então em vigor.</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val="pt-PT" w:eastAsia="ar-SA"/>
        </w:rPr>
        <w:t>9.7. Na ausência de previsão legal quanto ao índice substituto, as partes elegerão novo índice oficial, para reajustamento do preço do valor remanescente, por meio de termo aditivo.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val="pt-PT" w:eastAsia="ar-SA"/>
        </w:rPr>
        <w:t>9.8. O reajuste será realizado por apostilamento.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ascii="Arial" w:hAnsi="Arial"/>
          <w:b/>
          <w:bCs/>
          <w:color w:val="000000"/>
          <w:sz w:val="20"/>
          <w:szCs w:val="20"/>
        </w:rPr>
        <w:t xml:space="preserve">CLÁUSULA DÉCIMA – DAS </w:t>
      </w:r>
      <w:r>
        <w:rPr>
          <w:rStyle w:val="Fontepargpadro"/>
          <w:rFonts w:eastAsia="Arial" w:cs="Arial" w:ascii="Arial" w:hAnsi="Arial"/>
          <w:b/>
          <w:bCs/>
          <w:color w:val="000000"/>
          <w:sz w:val="20"/>
          <w:szCs w:val="20"/>
          <w:lang w:val="pt-PT"/>
        </w:rPr>
        <w:t>OBRIGAÇÕES DO CONTRATANTE E DO CONTRATADO</w:t>
      </w:r>
    </w:p>
    <w:p>
      <w:pPr>
        <w:pStyle w:val="BodyText"/>
        <w:tabs>
          <w:tab w:val="clear" w:pos="709"/>
          <w:tab w:val="left" w:pos="993" w:leader="none"/>
          <w:tab w:val="left" w:pos="5742" w:leader="none"/>
        </w:tabs>
        <w:spacing w:lineRule="auto" w:line="240" w:before="28" w:after="28"/>
        <w:ind w:hanging="0" w:start="0" w:end="-1"/>
        <w:jc w:val="both"/>
        <w:rPr/>
      </w:pPr>
      <w:r>
        <w:rPr>
          <w:rStyle w:val="Fontepargpadro"/>
          <w:rFonts w:ascii="Arial" w:hAnsi="Arial"/>
          <w:color w:val="000000"/>
          <w:sz w:val="20"/>
          <w:szCs w:val="20"/>
        </w:rPr>
        <w:t>10.1.</w:t>
      </w:r>
      <w:r>
        <w:rPr>
          <w:rStyle w:val="Fontepargpadro"/>
          <w:rFonts w:eastAsia="Arial" w:cs="Arial" w:ascii="Arial" w:hAnsi="Arial"/>
          <w:color w:val="000000"/>
          <w:sz w:val="20"/>
          <w:szCs w:val="20"/>
          <w:lang w:val="pt-PT"/>
        </w:rPr>
        <w:t xml:space="preserve"> As obrigações referentes ao CONTRATANTE e ao CONTRATADO encontram-se definidas no Termo de Referência, parte integrante deste instrumento.</w:t>
      </w:r>
    </w:p>
    <w:p>
      <w:pPr>
        <w:pStyle w:val="BodyText"/>
        <w:spacing w:lineRule="auto" w:line="240" w:before="28" w:after="28"/>
        <w:ind w:hanging="0" w:start="0" w:end="-1"/>
        <w:jc w:val="both"/>
        <w:rPr/>
      </w:pPr>
      <w:r>
        <w:rPr>
          <w:rStyle w:val="Fontepargpadro"/>
          <w:rFonts w:eastAsia="Arial" w:cs="Arial" w:ascii="Arial" w:hAnsi="Arial"/>
          <w:b/>
          <w:bCs/>
          <w:color w:val="000000"/>
          <w:sz w:val="20"/>
          <w:szCs w:val="20"/>
          <w:lang w:val="pt-PT"/>
        </w:rPr>
        <w:t>CLÁUSULA DÉCIMA PRIMEIRA – DAS OBRIGAÇÕES PERTINENTES À LEI GERAL DE PROTEÇÃO DE DADOS PESSOAIS (LGPD)</w:t>
      </w:r>
    </w:p>
    <w:p>
      <w:pPr>
        <w:pStyle w:val="Nvel2-Red"/>
        <w:spacing w:lineRule="auto" w:line="240" w:before="28" w:after="28"/>
        <w:ind w:hanging="0" w:start="0" w:end="-1"/>
        <w:jc w:val="both"/>
        <w:rPr/>
      </w:pPr>
      <w:r>
        <w:rPr>
          <w:rStyle w:val="Fontepargpadro"/>
          <w:i w:val="false"/>
          <w:iCs w:val="false"/>
          <w:color w:val="000000"/>
          <w:sz w:val="20"/>
          <w:szCs w:val="20"/>
        </w:rPr>
        <w:t>11.1. O CONTRATADO declara que tem ciência da existência da LGPD e se compromete a adequar todos os procedimentos internos ao disposto na legislação, com o intuito de proteger os dados pessoais que lhe forem repassados, cumprindo, a todo momento, as normas de proteção de dados pessoais, jamais colocando, por seus atos ou por sua omissão, o CONTRATANTE em situação de violação de tais regras.</w:t>
      </w:r>
    </w:p>
    <w:p>
      <w:pPr>
        <w:pStyle w:val="Nvel2-Red"/>
        <w:spacing w:lineRule="auto" w:line="240" w:before="28" w:after="28"/>
        <w:ind w:hanging="0" w:start="0" w:end="-1"/>
        <w:jc w:val="both"/>
        <w:rPr/>
      </w:pPr>
      <w:r>
        <w:rPr>
          <w:rStyle w:val="Fontepargpadro"/>
          <w:i w:val="false"/>
          <w:iCs w:val="false"/>
          <w:color w:val="000000"/>
          <w:sz w:val="20"/>
          <w:szCs w:val="20"/>
        </w:rPr>
        <w:t>11.1.1. O CONTRATADO somente poderá tratar dados pessoais nos limites e finalidades exclusivas do cumprimento de suas obrigações com base no presente contrato e jamais poderá realizar o tratamento para fins distintos da execução dos serviços especificados no certame ou no contrato administrativo.</w:t>
      </w:r>
    </w:p>
    <w:p>
      <w:pPr>
        <w:pStyle w:val="Nvel2-Red"/>
        <w:spacing w:lineRule="auto" w:line="240" w:before="28" w:after="28"/>
        <w:ind w:hanging="0" w:start="0" w:end="-1"/>
        <w:jc w:val="both"/>
        <w:rPr/>
      </w:pPr>
      <w:r>
        <w:rPr>
          <w:rStyle w:val="Fontepargpadro"/>
          <w:i w:val="false"/>
          <w:iCs w:val="false"/>
          <w:color w:val="000000"/>
          <w:sz w:val="20"/>
          <w:szCs w:val="20"/>
        </w:rPr>
        <w:t>11.2. O tratamento de dados pessoais será realizado de acordo com as hipóteses de tratamento previstas nos arts. 7º, 11, 14, 23, 24 e 26 da LGPD e somente para propósitos legítimos, específicos, explícitos e informados ao titular, observando a persecução do interesse público e os princípios do art.</w:t>
      </w:r>
      <w:hyperlink r:id="rId2" w:anchor="art6" w:tgtFrame="_top">
        <w:r>
          <w:rPr>
            <w:rStyle w:val="Hyperlink"/>
            <w:color w:val="000000"/>
            <w:sz w:val="20"/>
            <w:szCs w:val="20"/>
            <w:lang w:val="pt-PT" w:bidi="ar-SA"/>
          </w:rPr>
          <w:t xml:space="preserve"> 6º</w:t>
        </w:r>
      </w:hyperlink>
      <w:r>
        <w:rPr>
          <w:rStyle w:val="Fontepargpadro"/>
          <w:i w:val="false"/>
          <w:iCs w:val="false"/>
          <w:color w:val="000000"/>
          <w:sz w:val="20"/>
          <w:szCs w:val="20"/>
        </w:rPr>
        <w:t xml:space="preserve"> da LGPD e 37 da Constituição Federal de 1988.</w:t>
      </w:r>
    </w:p>
    <w:p>
      <w:pPr>
        <w:pStyle w:val="Nvel2-Red"/>
        <w:spacing w:lineRule="auto" w:line="240" w:before="28" w:after="28"/>
        <w:ind w:hanging="0" w:start="0" w:end="-1"/>
        <w:jc w:val="both"/>
        <w:rPr/>
      </w:pPr>
      <w:r>
        <w:rPr>
          <w:rStyle w:val="Fontepargpadro"/>
          <w:i w:val="false"/>
          <w:iCs w:val="false"/>
          <w:color w:val="000000"/>
          <w:sz w:val="20"/>
          <w:szCs w:val="20"/>
        </w:rPr>
        <w:t>11.3. O CONTRATADO deverá indicar, no prazo máximo de 5 (cinco) dias úteis da publicação do Contrato, a identidade e informações de contato do seu Encarregado de Proteção de Dados, bem como, se aplicável, o endereço da página eletrônica onde essa designação é realizada, conforme estabelecido no § 1º do art. 41 da LGPD e se compromete a manter o CONTRATANTE informado sobre os dados atualizados de contato de seu Encarregado de Tratamento de Dados Pessoais, sempre que for substituído, independentemente das alterações em sua página eletrônica.</w:t>
      </w:r>
    </w:p>
    <w:p>
      <w:pPr>
        <w:pStyle w:val="Nvel2-Red"/>
        <w:spacing w:lineRule="auto" w:line="240" w:before="28" w:after="28"/>
        <w:ind w:hanging="0" w:start="0" w:end="-1"/>
        <w:jc w:val="both"/>
        <w:rPr/>
      </w:pPr>
      <w:r>
        <w:rPr>
          <w:rStyle w:val="Fontepargpadro"/>
          <w:i w:val="false"/>
          <w:iCs w:val="false"/>
          <w:color w:val="000000"/>
          <w:sz w:val="20"/>
          <w:szCs w:val="20"/>
        </w:rPr>
        <w:t>11.4.  O CONTRATADO deverá cooperar com a Administração Direta e Indireta do Estado do Ceará no cumprimento das obrigações referentes ao exercício dos direitos dos Titulares previstos na LGPD e nas Leis e Regulamentos de Proteção de Dados em vigor e também no atendimento de requisições e determinações do Poder Judiciário, Ministério Público e Órgãos de Controle, quando relacionados ao objeto contratual.</w:t>
      </w:r>
    </w:p>
    <w:p>
      <w:pPr>
        <w:pStyle w:val="Nvel2-Red"/>
        <w:spacing w:lineRule="auto" w:line="240" w:before="28" w:after="28"/>
        <w:ind w:hanging="0" w:start="0" w:end="-1"/>
        <w:jc w:val="both"/>
        <w:rPr/>
      </w:pPr>
      <w:r>
        <w:rPr>
          <w:rStyle w:val="Fontepargpadro"/>
          <w:i w:val="false"/>
          <w:iCs w:val="false"/>
          <w:color w:val="000000"/>
          <w:sz w:val="20"/>
          <w:szCs w:val="20"/>
        </w:rPr>
        <w:t>11.5. O</w:t>
      </w:r>
      <w:r>
        <w:rPr>
          <w:rStyle w:val="Fontepargpadro"/>
          <w:i w:val="false"/>
          <w:iCs w:val="false"/>
          <w:color w:val="000000"/>
          <w:sz w:val="20"/>
          <w:szCs w:val="20"/>
          <w:lang w:val="pt-PT"/>
        </w:rPr>
        <w:t xml:space="preserve"> CONTRATADO não poderá disponibilizar ou transmitir a terceiros, sem prévia autorização por escrito, informação, dados pessoais ou base de dados a que tenha acesso em razão do cumprimento do objeto deste instrumento contratual.</w:t>
      </w:r>
    </w:p>
    <w:p>
      <w:pPr>
        <w:pStyle w:val="Nvel2-Red"/>
        <w:spacing w:lineRule="auto" w:line="240" w:before="28" w:after="28"/>
        <w:ind w:hanging="0" w:start="0" w:end="-1"/>
        <w:jc w:val="both"/>
        <w:rPr/>
      </w:pPr>
      <w:r>
        <w:rPr>
          <w:rStyle w:val="Fontepargpadro"/>
          <w:i w:val="false"/>
          <w:iCs w:val="false"/>
          <w:color w:val="000000"/>
          <w:sz w:val="20"/>
          <w:szCs w:val="20"/>
          <w:lang w:val="pt-PT"/>
        </w:rPr>
        <w:t>11.5.1. Caso autorizada transmissão de dados pelo CONTRATADO a terceiros, as informações fornecidas e/ou compartilhadas devem se limitar ao estritamente necessário para o fiel desempenho da execução do instrumento contratual, adotando procedimentos de segurança que assegurem a sua confidencialidade, integridade e disponibilidade dos dados.</w:t>
      </w:r>
    </w:p>
    <w:p>
      <w:pPr>
        <w:pStyle w:val="Nvel2-Red"/>
        <w:spacing w:lineRule="auto" w:line="240" w:before="28" w:after="28"/>
        <w:ind w:hanging="0" w:start="0" w:end="-1"/>
        <w:jc w:val="both"/>
        <w:rPr/>
      </w:pPr>
      <w:r>
        <w:rPr>
          <w:rStyle w:val="Fontepargpadro"/>
          <w:i w:val="false"/>
          <w:iCs w:val="false"/>
          <w:color w:val="000000"/>
          <w:sz w:val="20"/>
          <w:szCs w:val="20"/>
          <w:lang w:val="pt-PT"/>
        </w:rPr>
        <w:t>11.5.2.  As PARTES se obrigam a zelar pelo sigilo dos dados, garantindo que apenas as pessoas que efetivamente precisam acessá-los o façam, submetendo-as, em todo caso, ao dever de confidencialidade.</w:t>
      </w:r>
    </w:p>
    <w:p>
      <w:pPr>
        <w:pStyle w:val="Nvel2-Red"/>
        <w:spacing w:lineRule="auto" w:line="240" w:before="28" w:after="28"/>
        <w:ind w:hanging="0" w:start="0" w:end="-1"/>
        <w:jc w:val="both"/>
        <w:rPr/>
      </w:pPr>
      <w:r>
        <w:rPr>
          <w:rStyle w:val="Fontepargpadro"/>
          <w:i w:val="false"/>
          <w:iCs w:val="false"/>
          <w:color w:val="000000"/>
          <w:sz w:val="20"/>
          <w:szCs w:val="20"/>
        </w:rPr>
        <w:t>11.6. Ocorrendo o término do tratamento dos dados nos termos do</w:t>
      </w:r>
      <w:hyperlink r:id="rId3" w:anchor="art15" w:tgtFrame="_top">
        <w:r>
          <w:rPr>
            <w:rStyle w:val="Hyperlink"/>
            <w:i w:val="false"/>
            <w:iCs w:val="false"/>
            <w:color w:val="000000"/>
            <w:sz w:val="20"/>
            <w:szCs w:val="20"/>
            <w:lang w:val="pt-PT" w:bidi="ar-SA"/>
          </w:rPr>
          <w:t xml:space="preserve"> art. 15 da LGPD </w:t>
        </w:r>
      </w:hyperlink>
      <w:r>
        <w:rPr>
          <w:rStyle w:val="Fontepargpadro"/>
          <w:i w:val="false"/>
          <w:iCs w:val="false"/>
          <w:color w:val="000000"/>
          <w:sz w:val="20"/>
          <w:szCs w:val="20"/>
        </w:rPr>
        <w:t>é dever do CONTRATADO eliminá-los, com exceção das hipóteses do</w:t>
      </w:r>
      <w:hyperlink r:id="rId4" w:anchor="art16" w:tgtFrame="_top">
        <w:r>
          <w:rPr>
            <w:rStyle w:val="Hyperlink"/>
            <w:i w:val="false"/>
            <w:iCs w:val="false"/>
            <w:color w:val="000000"/>
            <w:sz w:val="20"/>
            <w:szCs w:val="20"/>
            <w:lang w:val="pt-PT" w:bidi="ar-SA"/>
          </w:rPr>
          <w:t xml:space="preserve"> art. 16 da m</w:t>
        </w:r>
      </w:hyperlink>
      <w:r>
        <w:rPr>
          <w:rStyle w:val="Fontepargpadro"/>
          <w:i w:val="false"/>
          <w:iCs w:val="false"/>
          <w:color w:val="000000"/>
          <w:sz w:val="20"/>
          <w:szCs w:val="20"/>
        </w:rPr>
        <w:t>esma lei, incluindo aquelas em que houver necessidade de guarda de documentação para fins de comprovação do cumprimento de obrigações legais ou contratuais e somente enquanto não prescritas essas obrigações.</w:t>
      </w:r>
    </w:p>
    <w:p>
      <w:pPr>
        <w:pStyle w:val="Nvel2-Red"/>
        <w:spacing w:lineRule="auto" w:line="240" w:before="28" w:after="28"/>
        <w:ind w:hanging="0" w:start="0" w:end="-1"/>
        <w:jc w:val="both"/>
        <w:rPr/>
      </w:pPr>
      <w:r>
        <w:rPr>
          <w:rStyle w:val="Fontepargpadro"/>
          <w:i w:val="false"/>
          <w:iCs w:val="false"/>
          <w:color w:val="000000"/>
          <w:sz w:val="20"/>
          <w:szCs w:val="20"/>
        </w:rPr>
        <w:t>11.6.1. O CONTRATADO não poderá deter cópias ou backups, informações, dados pessoais e/ou base de dados a que tenha tido acesso durante a execução do cumprimento do objeto deste instrumento contratual.</w:t>
      </w:r>
    </w:p>
    <w:p>
      <w:pPr>
        <w:pStyle w:val="Nvel2-Red"/>
        <w:spacing w:lineRule="auto" w:line="240" w:before="28" w:after="28"/>
        <w:ind w:hanging="0" w:start="0" w:end="-1"/>
        <w:jc w:val="both"/>
        <w:rPr/>
      </w:pPr>
      <w:r>
        <w:rPr>
          <w:rStyle w:val="Fontepargpadro"/>
          <w:i w:val="false"/>
          <w:iCs w:val="false"/>
          <w:color w:val="000000"/>
          <w:sz w:val="20"/>
          <w:szCs w:val="20"/>
        </w:rPr>
        <w:t>11.6.2. O CONTRATADO deverá eliminar os dados pessoais a que tiver conhecimento ou posse em razão do cumprimento do objeto deste instrumento contratual tão logo não haja necessidade de seu tratamento.</w:t>
      </w:r>
    </w:p>
    <w:p>
      <w:pPr>
        <w:pStyle w:val="Nvel2-Red"/>
        <w:spacing w:lineRule="auto" w:line="240" w:before="28" w:after="28"/>
        <w:ind w:hanging="0" w:start="0" w:end="-1"/>
        <w:jc w:val="both"/>
        <w:rPr/>
      </w:pPr>
      <w:r>
        <w:rPr>
          <w:rStyle w:val="Fontepargpadro"/>
          <w:i w:val="false"/>
          <w:iCs w:val="false"/>
          <w:color w:val="000000"/>
          <w:sz w:val="20"/>
          <w:szCs w:val="20"/>
        </w:rPr>
        <w:t>11.6.3. O CONTRATADO fica obrigado a devolver todos os documentos, registros e cópias que contenham informação, dados pessoais, e/ou base de dados a que tenha tido acesso durante a execução do cumprimento do objeto deste instrumento contratual, no prazo de 30 (trinta) dias corridos, contados da data de qualquer uma das hipóteses de extinção do contrato, restando autorizada a conservação apenas nas hipóteses legalmente previstas.</w:t>
      </w:r>
    </w:p>
    <w:p>
      <w:pPr>
        <w:pStyle w:val="Nvel2-Red"/>
        <w:spacing w:lineRule="auto" w:line="240" w:before="28" w:after="28"/>
        <w:ind w:hanging="0" w:start="0" w:end="-1"/>
        <w:jc w:val="both"/>
        <w:rPr/>
      </w:pPr>
      <w:r>
        <w:rPr>
          <w:rStyle w:val="Fontepargpadro"/>
          <w:i w:val="false"/>
          <w:iCs w:val="false"/>
          <w:color w:val="000000"/>
          <w:sz w:val="20"/>
          <w:szCs w:val="20"/>
        </w:rPr>
        <w:t xml:space="preserve">11.7. </w:t>
      </w:r>
      <w:r>
        <w:rPr>
          <w:rStyle w:val="Fontepargpadro"/>
          <w:i w:val="false"/>
          <w:iCs w:val="false"/>
          <w:color w:val="000000"/>
          <w:sz w:val="20"/>
          <w:szCs w:val="20"/>
          <w:lang w:val="pt-PT"/>
        </w:rPr>
        <w:t>Caso as PARTES necessitem subcontratar atividades relacionadas ao certame/contrato em que haja tratamento dos dados, deverão exigir a vinculação do SUBCONTRATADO (suboperador) aos critérios definidos neste instrumento, fazendo-o assinar um termo de adesão ao presente contrato.</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rPr>
        <w:t>11.7.1. O</w:t>
      </w:r>
      <w:r>
        <w:rPr>
          <w:rStyle w:val="Fontepargpadro"/>
          <w:i w:val="false"/>
          <w:iCs w:val="false"/>
          <w:color w:val="000000"/>
          <w:sz w:val="20"/>
          <w:szCs w:val="20"/>
          <w:lang w:val="pt-PT"/>
        </w:rPr>
        <w:t xml:space="preserve"> CONTRATANTE deverá ser informado no prazo de 5 (cinco) dias úteis sobre todos os contratos de subcontratação (suboperadores) firmados ou que venham a ser celebrados pelo CONTRATADO.</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lang w:val="pt-PT"/>
        </w:rPr>
        <w:t>11.7.2. Em caso de subcontratação, o CONTRATADO e o SUBCONTRATADO responderão em regime de solidariedade por eventuais danos causados aos titulares, o CONTRATANTE e a terceiros, em virtude de qualquer conduta comissiva ou omissiva inerente ao tratamento dos dados.</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lang w:val="pt-PT"/>
        </w:rPr>
        <w:t>11.7.3. O CONTRATADO deverá assegurar que o subcontratado oferecerá o mesmo nível de segurança dos dados, produzindo e guardando evidências disso;</w:t>
      </w:r>
    </w:p>
    <w:p>
      <w:pPr>
        <w:pStyle w:val="Nvel3-R"/>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11.8. As PARTES devem adotar boas práticas de governança e medidas técnicas e administrativas em relação ao tratamento dos dados, compatíveis com a estrutura, a escala e o volume de suas operações, bem como a sensibilidade dos dados tratados.</w:t>
      </w:r>
    </w:p>
    <w:p>
      <w:pPr>
        <w:pStyle w:val="Nvel2-Red"/>
        <w:spacing w:lineRule="auto" w:line="240" w:before="28" w:after="28"/>
        <w:ind w:hanging="0" w:start="0" w:end="-1"/>
        <w:jc w:val="both"/>
        <w:rPr/>
      </w:pPr>
      <w:r>
        <w:rPr>
          <w:rStyle w:val="Fontepargpadro"/>
          <w:i w:val="false"/>
          <w:iCs w:val="false"/>
          <w:color w:val="000000"/>
          <w:sz w:val="20"/>
          <w:szCs w:val="20"/>
        </w:rPr>
        <w:t>11.8.1. É dever do CONTRATADO orientar e treinar seus empregados sobre os deveres, requisitos e responsabilidades decorrentes da LGPD, inclusive dará conhecimento formal aos seus empregados das obrigações e condições acordadas nesta cláusula.</w:t>
      </w:r>
    </w:p>
    <w:p>
      <w:pPr>
        <w:pStyle w:val="Nvel2-Red"/>
        <w:spacing w:lineRule="auto" w:line="240" w:before="28" w:after="28"/>
        <w:ind w:hanging="0" w:start="0" w:end="-1"/>
        <w:jc w:val="both"/>
        <w:rPr/>
      </w:pPr>
      <w:r>
        <w:rPr>
          <w:rStyle w:val="Fontepargpadro"/>
          <w:i w:val="false"/>
          <w:iCs w:val="false"/>
          <w:color w:val="000000"/>
          <w:sz w:val="20"/>
          <w:szCs w:val="20"/>
        </w:rPr>
        <w:t>11.8.2. O CONTRATADO se responsabilizará por assegurar que todos os seus colaboradores, consultores, e/ou prestadores de serviços que, no exercício das suas atividades, tenham acesso e/ou conhecimento da informação e/ou dos dados pessoais, agirão de acordo com o presente contrato,  com as leis de proteção de dados e que estes respeitem o dever de proteção, confidencialidade e sigilo, devendo estes assumir compromisso formal de preservar a confidencialidade e segurança de tais dados, documento que estar disponível em caráter permanente para exibição do CONTRATANTE, mediante solicitação.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11.8.3. O CONTRATADO deverá promover a revogação de todos os privilégios de acesso aos sistemas, informações e recursos do CONTRATANTE, em caso de desligamento de funcionário das atividades inerentes à execução do presente Contrato.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11.9. Em caso de incidente de segurança em relação aos dados tratados neste certame/contrato, que comprometa a confidencialidade, a integridade e a disponibilidade dos dados, a PARTE que sofreu o incidente deverá comunicar imediatamente a ocorrência a partir de uma notificação que conterá, no mínimo: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a) Data e hora do incidente;</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b) Data e hora da ciência pela PARTE responsável;</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c) Descrição dos dados pessoais afetados;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d) Número de titulares afetados;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e) Relação dos titulares envolvidos;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f) Riscos relacionados ao incidente;</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g) Indicação das medidas técnicas e de segurança utilizadas para a proteção dos dados;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h) Motivos da demora, no caso de a comunicação não haver sido imediata;</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i) Medidas que foram ou que serão adotadas para reverter ou mitigar os efeitos do prejuízo;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j) O contato do Encarregado de Proteção de Dados ou de outra pessoa junto a qual seja possível obter maiores informações sobre o ocorrido;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11.9.1. Na hipótese descrita acima, as PARTES atuarão em regime de cooperação para:</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a) Definir e implementar as medidas necessárias para fazer cessar o incidente e minimizar seus impactos;</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b) Prover as informações necessárias à apuração do ocorrido no menor prazo possível;</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c) Definir o padrão de respostas a serem dadas aos titulares, terceiros, à ANPD e demais autoridades competentes.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11.10. Os dados obtidos em razão deste contrato serão armazenados em um banco de dados seguro, com garantia de registro das transações realizadas na aplicação de acesso (log), adequado controle baseado em função (</w:t>
      </w:r>
      <w:r>
        <w:rPr>
          <w:rStyle w:val="Fontepargpadro"/>
          <w:color w:val="000000"/>
          <w:sz w:val="20"/>
          <w:szCs w:val="20"/>
        </w:rPr>
        <w:t>role based access control</w:t>
      </w:r>
      <w:r>
        <w:rPr>
          <w:rStyle w:val="Fontepargpadro"/>
          <w:i w:val="false"/>
          <w:iCs w:val="false"/>
          <w:color w:val="000000"/>
          <w:sz w:val="20"/>
          <w:szCs w:val="20"/>
        </w:rPr>
        <w:t>) e com transparente identificação do perfil dos credenciados, tudo estabelecido como forma de garantir inclusive a rastreabilidade de cada transação e a franca apuração, a qualquer momento, de desvios e falhas, vedado o compartilhamento dessas informações com terceiros;</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11.11. A critério do CONTRATANTE, o CONTRATADO poderá ser provocado a colaborar na elaboração do Relatório de Impacto à Proteção de Dados Pessoais, conforme a sensibilidade e o risco inerente dos serviços objeto deste contrato, no tocante a dados pessoais.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11.12. O CONTRATADO indenizará o CONTRATANTE, em razão do não cumprimento das obrigações previstas nas leis, normas, regulamentos e recomendações das autoridades de proteção de dados com relação ao presente contrato, de quaisquer danos, prejuízos, custos e despesas, incluindo-se honorários advocatícios, multas, penalidades e eventuais dispêndios investigativos relativos a demandas administrativas ou judiciais propostas em face do CONTRATANTE a esse título.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11.13.  Em caso de responsabilização do Estado por danos e/ou violações à LGPD decorrentes do objeto do contrato, deverá ser apurado os danos que efetivamente cada uma das partes causarem ao titular dos dados, para fins de assegurar o direito de regresso do Estado nos termos da legislação.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11.13.1. O CONTRATANTE poderá realizar diligência para aferir o cumprimento dessa cláusula, devendo o CONTRATADO atender prontamente eventuais pedidos de comprovação formulados.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11.14. Os contratos e convênios de que trata o</w:t>
      </w:r>
      <w:r>
        <w:rPr>
          <w:rStyle w:val="Style7"/>
          <w:i w:val="false"/>
          <w:iCs w:val="false"/>
          <w:color w:val="000000"/>
          <w:sz w:val="20"/>
          <w:szCs w:val="20"/>
        </w:rPr>
        <w:t xml:space="preserve"> § 1º do art. 26 da Lei nº 13.709</w:t>
      </w:r>
      <w:r>
        <w:rPr>
          <w:rStyle w:val="Fontepargpadro"/>
          <w:i w:val="false"/>
          <w:iCs w:val="false"/>
          <w:color w:val="000000"/>
          <w:sz w:val="20"/>
          <w:szCs w:val="20"/>
        </w:rPr>
        <w:t>/2018 deverão ser comunicados à ANPD.</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11.15. Este instrumento pode ser alterado nos procedimentos pertinentes ao tratamento de dados pessoais, quando indicado pela autoridade competente, em especial a ANPD por meio de opiniões técnicas ou recomendações, editadas na forma da LGPD.</w:t>
      </w:r>
    </w:p>
    <w:p>
      <w:pPr>
        <w:pStyle w:val="BodyText"/>
        <w:tabs>
          <w:tab w:val="clear" w:pos="709"/>
          <w:tab w:val="left" w:pos="993" w:leader="none"/>
          <w:tab w:val="left" w:pos="5742" w:leader="none"/>
        </w:tabs>
        <w:spacing w:lineRule="auto" w:line="240" w:before="28" w:after="28"/>
        <w:ind w:hanging="0" w:start="0" w:end="-1"/>
        <w:jc w:val="both"/>
        <w:rPr/>
      </w:pPr>
      <w:r>
        <w:rPr>
          <w:rStyle w:val="Fontepargpadro"/>
          <w:rFonts w:eastAsia="Arial" w:cs="Arial" w:ascii="Arial" w:hAnsi="Arial"/>
          <w:b/>
          <w:bCs/>
          <w:color w:val="000000"/>
          <w:sz w:val="20"/>
          <w:szCs w:val="20"/>
          <w:lang w:val="pt-PT"/>
        </w:rPr>
        <w:t>CLÁUSULA DÉCIMA SEGUNDA – DA GARANTIA DE EXECUÇÃO</w:t>
      </w:r>
    </w:p>
    <w:p>
      <w:pPr>
        <w:pStyle w:val="BodyText"/>
        <w:tabs>
          <w:tab w:val="clear" w:pos="709"/>
          <w:tab w:val="left" w:pos="993" w:leader="none"/>
          <w:tab w:val="left" w:pos="5742" w:leader="none"/>
        </w:tabs>
        <w:spacing w:lineRule="auto" w:line="240" w:before="28" w:after="28"/>
        <w:ind w:hanging="0" w:start="0" w:end="-1"/>
        <w:jc w:val="both"/>
        <w:rPr/>
      </w:pPr>
      <w:r>
        <w:rPr>
          <w:rStyle w:val="Fontepargpadro"/>
          <w:rFonts w:eastAsia="Arial" w:cs="Arial" w:ascii="Arial" w:hAnsi="Arial"/>
          <w:color w:val="000000"/>
          <w:sz w:val="20"/>
          <w:szCs w:val="20"/>
        </w:rPr>
        <w:t xml:space="preserve">12.1. </w:t>
      </w:r>
      <w:r>
        <w:rPr>
          <w:rStyle w:val="Fontepargpadro"/>
          <w:rFonts w:eastAsia="Arial" w:cs="Arial" w:ascii="Arial" w:hAnsi="Arial"/>
          <w:b w:val="false"/>
          <w:bCs w:val="false"/>
          <w:i w:val="false"/>
          <w:iCs w:val="false"/>
          <w:color w:val="000000"/>
          <w:sz w:val="20"/>
          <w:szCs w:val="20"/>
          <w:u w:val="none"/>
          <w:shd w:fill="auto" w:val="clear"/>
          <w:lang w:val="pt-BR" w:eastAsia="ar-SA" w:bidi="ar-SA"/>
        </w:rPr>
        <w:t>A</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 xml:space="preserve"> garantia contratual </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obedecerá a</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os</w:t>
      </w:r>
      <w:r>
        <w:rPr>
          <w:rStyle w:val="Fontepargpadro"/>
          <w:rFonts w:eastAsia="Times New Roman" w:cs="Arial" w:ascii="Arial" w:hAnsi="Arial"/>
          <w:color w:val="000000"/>
          <w:sz w:val="20"/>
          <w:szCs w:val="20"/>
          <w:shd w:fill="FFFFFF" w:val="clear"/>
          <w:lang w:eastAsia="ar-SA" w:bidi="ar-SA"/>
        </w:rPr>
        <w:t xml:space="preserve"> termos e prazos estabelecidos n</w:t>
      </w:r>
      <w:r>
        <w:rPr>
          <w:rStyle w:val="Fontepargpadro"/>
          <w:rFonts w:eastAsia="Times New Roman" w:cs="Times New Roman" w:ascii="Arial" w:hAnsi="Arial"/>
          <w:color w:val="000000"/>
          <w:sz w:val="20"/>
          <w:szCs w:val="20"/>
          <w:shd w:fill="FFFFFF" w:val="clear"/>
          <w:lang w:eastAsia="ar-SA" w:bidi="ar-SA"/>
        </w:rPr>
        <w:t>o subite</w:t>
      </w:r>
      <w:r>
        <w:rPr>
          <w:rStyle w:val="Fontepargpadro"/>
          <w:rFonts w:eastAsia="Times New Roman" w:cs="Times New Roman" w:ascii="Arial" w:hAnsi="Arial"/>
          <w:color w:val="000000"/>
          <w:sz w:val="20"/>
          <w:szCs w:val="20"/>
          <w:lang w:eastAsia="ar-SA" w:bidi="ar-SA"/>
        </w:rPr>
        <w:t>m 6.2 do</w:t>
      </w:r>
      <w:r>
        <w:rPr>
          <w:rStyle w:val="Fontepargpadro"/>
          <w:rFonts w:eastAsia="Times New Roman" w:cs="Times New Roman" w:ascii="Arial" w:hAnsi="Arial"/>
          <w:color w:val="000000"/>
          <w:sz w:val="20"/>
          <w:szCs w:val="20"/>
          <w:shd w:fill="FFFFFF" w:val="clear"/>
          <w:lang w:eastAsia="ar-SA" w:bidi="ar-SA"/>
        </w:rPr>
        <w:t xml:space="preserve"> Termo de Referência. </w:t>
      </w:r>
      <w:r>
        <w:rPr>
          <w:rStyle w:val="Fontepargpadro1"/>
          <w:rFonts w:eastAsia="Times New Roman" w:cs="Arial" w:ascii="Arial" w:hAnsi="Arial"/>
          <w:color w:val="000000"/>
          <w:sz w:val="20"/>
          <w:szCs w:val="20"/>
          <w:shd w:fill="FFFFFF" w:val="clear"/>
          <w:lang w:eastAsia="ar-SA" w:bidi="ar-SA"/>
        </w:rPr>
        <w:t>A não prestação de garantia equivale à recusa injustificada para a contratação, caracterizando descumprimento total da obrigação assumida, ficando a adjudicatária sujeita às penalidades legalmente estabelecidas, inclusive multa.</w:t>
      </w:r>
    </w:p>
    <w:p>
      <w:pPr>
        <w:pStyle w:val="BodyText"/>
        <w:tabs>
          <w:tab w:val="clear" w:pos="709"/>
          <w:tab w:val="left" w:pos="993" w:leader="none"/>
          <w:tab w:val="left" w:pos="5742" w:leader="none"/>
        </w:tabs>
        <w:spacing w:lineRule="auto" w:line="240" w:before="28" w:after="28"/>
        <w:ind w:hanging="0" w:start="0" w:end="-1"/>
        <w:jc w:val="both"/>
        <w:rPr>
          <w:rFonts w:ascii="Arial" w:hAnsi="Arial"/>
          <w:b/>
          <w:bCs/>
          <w:color w:val="000000"/>
          <w:sz w:val="20"/>
          <w:szCs w:val="20"/>
        </w:rPr>
      </w:pPr>
      <w:r>
        <w:rPr>
          <w:rFonts w:ascii="Arial" w:hAnsi="Arial"/>
          <w:b/>
          <w:bCs/>
          <w:color w:val="000000"/>
          <w:sz w:val="20"/>
          <w:szCs w:val="20"/>
        </w:rPr>
        <w:t>CLÁUSULA DÉCIMA TERCEIRA – DAS INFRAÇÕES E SANÇÕES ADMINISTRATIVAS</w:t>
      </w:r>
    </w:p>
    <w:p>
      <w:pPr>
        <w:pStyle w:val="BodyText"/>
        <w:spacing w:lineRule="auto" w:line="240" w:before="28" w:after="28"/>
        <w:ind w:hanging="0" w:start="0" w:end="-1"/>
        <w:jc w:val="both"/>
        <w:rPr/>
      </w:pPr>
      <w:r>
        <w:rPr>
          <w:rStyle w:val="Fontepargpadro"/>
          <w:rFonts w:ascii="Arial" w:hAnsi="Arial"/>
          <w:color w:val="000000"/>
          <w:sz w:val="20"/>
          <w:szCs w:val="20"/>
        </w:rPr>
        <w:t xml:space="preserve">13.1. Comete infração administrativa, nos termos da </w:t>
      </w:r>
      <w:r>
        <w:rPr>
          <w:rStyle w:val="Hyperlink"/>
          <w:rFonts w:ascii="Arial" w:hAnsi="Arial"/>
          <w:color w:val="000000"/>
          <w:sz w:val="20"/>
          <w:szCs w:val="20"/>
          <w:u w:val="none"/>
        </w:rPr>
        <w:t xml:space="preserve">Lei nº 14.133/2021, </w:t>
      </w:r>
      <w:r>
        <w:rPr>
          <w:rStyle w:val="Fontepargpadro"/>
          <w:rFonts w:ascii="Arial" w:hAnsi="Arial"/>
          <w:color w:val="000000"/>
          <w:sz w:val="20"/>
          <w:szCs w:val="20"/>
        </w:rPr>
        <w:t xml:space="preserve"> o CONTRATADO que:</w:t>
      </w:r>
    </w:p>
    <w:p>
      <w:pPr>
        <w:pStyle w:val="BodyText"/>
        <w:spacing w:lineRule="auto" w:line="240" w:before="28" w:after="28"/>
        <w:ind w:hanging="0" w:start="0" w:end="-1"/>
        <w:jc w:val="both"/>
        <w:rPr/>
      </w:pPr>
      <w:r>
        <w:rPr>
          <w:rStyle w:val="Fontepargpadro"/>
          <w:rFonts w:ascii="Arial" w:hAnsi="Arial"/>
          <w:color w:val="000000"/>
          <w:sz w:val="20"/>
          <w:szCs w:val="20"/>
        </w:rPr>
        <w:t>13.1.1. D</w:t>
      </w:r>
      <w:r>
        <w:rPr>
          <w:rStyle w:val="Fontepargpadro"/>
          <w:rFonts w:eastAsia="Arial" w:cs="Arial" w:ascii="Arial" w:hAnsi="Arial"/>
          <w:color w:val="000000"/>
          <w:sz w:val="20"/>
          <w:szCs w:val="20"/>
        </w:rPr>
        <w:t>er causa à inexecução parcial do contrato;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13.1.2. Der causa à inexecução parcial do contrato que cause grave dano à Administração ou ao funcionamento dos serviços públicos ou ao interesse coletivo;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13.1.3. Der causa à inexecução total do contrato;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13.1.4. Ensejar o retardamento da execução ou da entrega do objeto da contratação sem motivo justificado;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13.1.5. Apresentar documentação falsa ou prestar declaração falsa durante a execução do contrato;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13.1.6. Praticar ato fraudulento na execução do contrato;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13.1.7. Comportar-se de modo inidôneo ou cometer fraude de qualquer natureza;</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13.1.8. Praticar ato lesivo previsto no art. 5º da Lei nº 12.846/2013.</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13.2. Serão aplicadas ao CONTRATADO que incorrer nas infrações acima descritas as seguintes sanções:</w:t>
      </w:r>
    </w:p>
    <w:p>
      <w:pPr>
        <w:pStyle w:val="BodyText"/>
        <w:spacing w:lineRule="auto" w:line="240" w:before="28" w:after="28"/>
        <w:ind w:hanging="0" w:start="0" w:end="-1"/>
        <w:jc w:val="both"/>
        <w:rPr>
          <w:rFonts w:ascii="Arial" w:hAnsi="Arial" w:eastAsia="Arial" w:cs="Arial"/>
          <w:color w:val="000000"/>
          <w:sz w:val="20"/>
          <w:szCs w:val="20"/>
        </w:rPr>
      </w:pPr>
      <w:r>
        <w:rPr>
          <w:rFonts w:eastAsia="Arial" w:cs="Arial" w:ascii="Arial" w:hAnsi="Arial"/>
          <w:color w:val="000000"/>
          <w:sz w:val="20"/>
          <w:szCs w:val="20"/>
        </w:rPr>
        <w:t>13.2.1. Advertência, quando o CONTRATADO der causa à inexecução parcial do contrato, sempre que não se justificar a imposição de penalidade mais grave;</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13.2.2. Impedimento de licitar e contratar, quando praticadas as condutas descritas nos subitens 13.1.2, 13.1.3 e 13.1.4, deste contrato, sempre que não se justificar a imposição de penalidade mais grave;</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13.2.3. Declaração de inidoneidade para licitar e contratar, quando praticadas as condutas descritas nos subitens 13.1.5, 13.1.6, 13.1.7 e 13.1.8 deste contrato, bem como nos subitens 13.1.2,13.1.3 e 13.1.4, que justifiquem a imposição de penalidade mais grave.</w:t>
      </w:r>
    </w:p>
    <w:p>
      <w:pPr>
        <w:pStyle w:val="BodyText"/>
        <w:spacing w:lineRule="auto" w:line="240" w:before="28" w:after="28"/>
        <w:ind w:hanging="0" w:start="0" w:end="-1"/>
        <w:jc w:val="both"/>
        <w:rPr>
          <w:rFonts w:ascii="Arial" w:hAnsi="Arial" w:eastAsia="Arial" w:cs="Arial"/>
          <w:b/>
          <w:bCs/>
          <w:color w:val="000000"/>
          <w:sz w:val="20"/>
          <w:szCs w:val="20"/>
        </w:rPr>
      </w:pPr>
      <w:r>
        <w:rPr>
          <w:rFonts w:eastAsia="Arial" w:cs="Arial" w:ascii="Arial" w:hAnsi="Arial"/>
          <w:b/>
          <w:bCs/>
          <w:color w:val="000000"/>
          <w:sz w:val="20"/>
          <w:szCs w:val="20"/>
        </w:rPr>
        <w:t>13.2.4. Multa:</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13.2.4.1. Moratória de</w:t>
      </w:r>
      <w:r>
        <w:rPr>
          <w:rStyle w:val="Tipodeletrapredefinidodopargrafo1"/>
          <w:rFonts w:eastAsia="Arial" w:cs="Calibri" w:ascii="Arial" w:hAnsi="Arial"/>
          <w:color w:val="000000"/>
          <w:sz w:val="20"/>
          <w:szCs w:val="20"/>
        </w:rPr>
        <w:t xml:space="preserve"> 0,2% (dois décimos por cento) por dia de atraso injustificado sobre o valor da parcela inadimplida, até o limite de 25 (vinte e cinco) dias.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13.2.4.2. </w:t>
      </w:r>
      <w:r>
        <w:rPr>
          <w:rStyle w:val="Tipodeletrapredefinidodopargrafo1"/>
          <w:rFonts w:eastAsia="Arial" w:cs="Calibri" w:ascii="Arial" w:hAnsi="Arial"/>
          <w:color w:val="000000"/>
          <w:sz w:val="20"/>
          <w:szCs w:val="20"/>
        </w:rPr>
        <w:t>Moratória de 0,07% (sete centésimos por cento) por dia de atraso injustificado sobre o valor total do contrato, até o máximo de 2% (dois por cento) pela inobservância do prazo fixado para apresentação, suplementação ou reposição da garantia.</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13.2.4.3. O atraso superior a </w:t>
      </w:r>
      <w:r>
        <w:rPr>
          <w:rStyle w:val="Tipodeletrapredefinidodopargrafo1"/>
          <w:rFonts w:eastAsia="Arial" w:cs="Calibri" w:ascii="Arial" w:hAnsi="Arial"/>
          <w:color w:val="000000"/>
          <w:sz w:val="20"/>
          <w:szCs w:val="20"/>
        </w:rPr>
        <w:t xml:space="preserve">30 (trinta) </w:t>
      </w:r>
      <w:r>
        <w:rPr>
          <w:rStyle w:val="Fontepargpadro"/>
          <w:rFonts w:eastAsia="Arial" w:cs="Arial" w:ascii="Arial" w:hAnsi="Arial"/>
          <w:color w:val="000000"/>
          <w:sz w:val="20"/>
          <w:szCs w:val="20"/>
        </w:rPr>
        <w:t>dias autoriza a Administração a promover a extinção do contrato por descumprimento ou cumprimento irregular de suas cláusulas, conforme dispõe o inciso I do art. 137 da Lei nº 14.133/2021.</w:t>
      </w:r>
    </w:p>
    <w:p>
      <w:pPr>
        <w:pStyle w:val="BodyText"/>
        <w:spacing w:lineRule="auto" w:line="240" w:before="28" w:after="28"/>
        <w:ind w:hanging="0" w:start="0" w:end="-1"/>
        <w:jc w:val="both"/>
        <w:rPr/>
      </w:pPr>
      <w:r>
        <w:rPr>
          <w:rStyle w:val="Hyperlink"/>
          <w:rFonts w:eastAsia="Arial" w:cs="Arial" w:ascii="Arial" w:hAnsi="Arial"/>
          <w:color w:val="000000"/>
          <w:sz w:val="20"/>
          <w:szCs w:val="20"/>
          <w:u w:val="none"/>
        </w:rPr>
        <w:t xml:space="preserve">13.2.4.4. Compensatória de </w:t>
      </w:r>
      <w:r>
        <w:rPr>
          <w:rStyle w:val="Tipodeletrapredefinidodopargrafo1"/>
          <w:rFonts w:eastAsia="Arial" w:cs="Calibri" w:ascii="Arial" w:hAnsi="Arial"/>
          <w:color w:val="000000"/>
          <w:sz w:val="20"/>
          <w:szCs w:val="20"/>
        </w:rPr>
        <w:t>20% (vinte por cento)</w:t>
      </w:r>
      <w:r>
        <w:rPr>
          <w:rStyle w:val="Hyperlink"/>
          <w:rFonts w:eastAsia="Arial" w:cs="Arial" w:ascii="Arial" w:hAnsi="Arial"/>
          <w:color w:val="000000"/>
          <w:sz w:val="20"/>
          <w:szCs w:val="20"/>
          <w:u w:val="none"/>
        </w:rPr>
        <w:t xml:space="preserve"> sobre o valor total do contrato, no caso de inexecução total do objeto.</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.3. A aplicação das sanções previstas neste contrato não exclui, em hipótese alguma, a obrigação de reparação integral do dano causado ao CONTRATANTE.</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.4. Todas as sanções previstas neste contrato poderão ser aplicadas cumulativamente com a multa.</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.4.1. Antes da aplicação da multa será facultada a defesa do interessado no prazo de 15 (quinze) dias úteis, contado da data de sua intimação.</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 xml:space="preserve">.5. A aplicação das sanções realizar-se-á em processo administrativo que assegure o contraditório e a ampla defesa ao CONTRATADO, observando-se o procedimento previsto no </w:t>
      </w:r>
      <w:r>
        <w:rPr>
          <w:rStyle w:val="Fontepargpadro"/>
          <w:rFonts w:eastAsia="Arial" w:cs="Arial" w:ascii="Arial" w:hAnsi="Arial"/>
          <w:i/>
          <w:iCs/>
          <w:color w:val="000000"/>
          <w:sz w:val="20"/>
          <w:szCs w:val="20"/>
        </w:rPr>
        <w:t>caput</w:t>
      </w:r>
      <w:r>
        <w:rPr>
          <w:rStyle w:val="Fontepargpadro"/>
          <w:rFonts w:eastAsia="Arial" w:cs="Arial" w:ascii="Arial" w:hAnsi="Arial"/>
          <w:color w:val="000000"/>
          <w:sz w:val="20"/>
          <w:szCs w:val="20"/>
        </w:rPr>
        <w:t xml:space="preserve"> e parágrafos do </w:t>
      </w:r>
      <w:hyperlink r:id="rId5" w:anchor="art158" w:tgtFrame="_top">
        <w:r>
          <w:rPr>
            <w:rStyle w:val="Hyperlink"/>
            <w:rFonts w:eastAsia="Arial" w:cs="Arial" w:ascii="Arial" w:hAnsi="Arial"/>
            <w:color w:val="000000"/>
            <w:sz w:val="20"/>
            <w:szCs w:val="20"/>
            <w:u w:val="none"/>
          </w:rPr>
          <w:t>art. 158 da Lei nº 14.133/2021</w:t>
        </w:r>
      </w:hyperlink>
      <w:r>
        <w:rPr>
          <w:rStyle w:val="Fontepargpadro"/>
          <w:rFonts w:eastAsia="Arial" w:cs="Arial" w:ascii="Arial" w:hAnsi="Arial"/>
          <w:color w:val="000000"/>
          <w:sz w:val="20"/>
          <w:szCs w:val="20"/>
        </w:rPr>
        <w:t>, para as penalidades de impedimento de licitar e contratar e de declaração de inidoneidade para licitar ou contratar.</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.6. Na aplicação das sanções serão considerados: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13.6.1. A natureza e a gravidade da infração cometida;</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13.6.2. As peculiaridades do caso concreto;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13.6.3. As circunstâncias agravantes ou atenuantes;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13.6.4. Os danos que dela provierem para o CONTRATANTE;</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.6.5. A implantação ou o aperfeiçoamento de programa de integridade, conforme normas e orientações dos órgãos de controle.</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13.7. Os atos previstos como infrações administrativas na </w:t>
      </w:r>
      <w:hyperlink r:id="rId6" w:tgtFrame="_top">
        <w:r>
          <w:rPr>
            <w:rStyle w:val="Hyperlink"/>
            <w:rFonts w:eastAsia="Arial" w:cs="Arial" w:ascii="Arial" w:hAnsi="Arial"/>
            <w:color w:val="000000"/>
            <w:sz w:val="20"/>
            <w:szCs w:val="20"/>
            <w:u w:val="none"/>
          </w:rPr>
          <w:t>Lei nº 14.133/2021</w:t>
        </w:r>
      </w:hyperlink>
      <w:r>
        <w:rPr>
          <w:rStyle w:val="Fontepargpadro"/>
          <w:rFonts w:eastAsia="Arial" w:cs="Arial" w:ascii="Arial" w:hAnsi="Arial"/>
          <w:color w:val="000000"/>
          <w:sz w:val="20"/>
          <w:szCs w:val="20"/>
        </w:rPr>
        <w:t xml:space="preserve">, ou em outras leis de licitações e contratos da Administração Pública que também sejam tipificados como atos lesivos na </w:t>
      </w:r>
      <w:hyperlink r:id="rId7" w:tgtFrame="_top">
        <w:r>
          <w:rPr>
            <w:rStyle w:val="Hyperlink"/>
            <w:rFonts w:eastAsia="Arial" w:cs="Arial" w:ascii="Arial" w:hAnsi="Arial"/>
            <w:color w:val="000000"/>
            <w:sz w:val="20"/>
            <w:szCs w:val="20"/>
            <w:u w:val="none"/>
          </w:rPr>
          <w:t>Lei nº 12.846/2013</w:t>
        </w:r>
      </w:hyperlink>
      <w:r>
        <w:rPr>
          <w:rStyle w:val="Fontepargpadro"/>
          <w:rFonts w:eastAsia="Arial" w:cs="Arial" w:ascii="Arial" w:hAnsi="Arial"/>
          <w:color w:val="000000"/>
          <w:sz w:val="20"/>
          <w:szCs w:val="20"/>
        </w:rPr>
        <w:t>, serão apurados e julgados conjuntamente, nos mesmos autos, observados o rito procedimental e autoridade competente definidos na referida Lei.</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13.8.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13.9. O CONTRATANTE deverá, no prazo máximo 15 (quinze) dias úteis, contado da data de aplicação da sanção, informar e manter atualizados os dados relativos às sanções por ele aplicados, para fins de publicidade no Cadastro Nacional de Empresas Inidôneas e Suspensas (Ceis) e no Cadastro Nacional de Empresas Punidas (Cnep), instituídos no âmbito do Poder Executivo Federal e no Certificado de Registro Cadastral(CRC) do Estado do Ceará.</w:t>
      </w:r>
    </w:p>
    <w:p>
      <w:pPr>
        <w:pStyle w:val="BodyText"/>
        <w:spacing w:lineRule="auto" w:line="240" w:before="28" w:after="28"/>
        <w:ind w:hanging="0" w:start="0" w:end="-1"/>
        <w:jc w:val="both"/>
        <w:rPr/>
      </w:pPr>
      <w:r>
        <w:rPr>
          <w:rStyle w:val="Fontepargpadro"/>
          <w:rFonts w:eastAsia="Arial" w:cs="Arial" w:ascii="Arial" w:hAnsi="Arial"/>
          <w:color w:val="000000"/>
          <w:sz w:val="20"/>
          <w:szCs w:val="20"/>
          <w:shd w:fill="FFFFFF" w:val="clear"/>
        </w:rPr>
        <w:t>13</w:t>
      </w:r>
      <w:r>
        <w:rPr>
          <w:rStyle w:val="Fontepargpadro"/>
          <w:rFonts w:eastAsia="Arial" w:cs="Arial" w:ascii="Arial" w:hAnsi="Arial"/>
          <w:color w:val="000000"/>
          <w:sz w:val="20"/>
          <w:szCs w:val="20"/>
        </w:rPr>
        <w:t xml:space="preserve">.10. As sanções de impedimento de licitar e contratar e declaração de inidoneidade para licitar ou contratar são passíveis de reabilitação na forma do </w:t>
      </w:r>
      <w:hyperlink r:id="rId8" w:anchor="163" w:tgtFrame="_top">
        <w:r>
          <w:rPr>
            <w:rStyle w:val="Hyperlink"/>
            <w:rFonts w:eastAsia="Arial" w:cs="Arial" w:ascii="Arial" w:hAnsi="Arial"/>
            <w:color w:val="000000"/>
            <w:sz w:val="20"/>
            <w:szCs w:val="20"/>
            <w:u w:val="none"/>
          </w:rPr>
          <w:t>art. 163 da Lei nº 14.133/2021</w:t>
        </w:r>
      </w:hyperlink>
      <w:r>
        <w:rPr>
          <w:rStyle w:val="Fontepargpadro"/>
          <w:rFonts w:eastAsia="Arial" w:cs="Arial" w:ascii="Arial" w:hAnsi="Arial"/>
          <w:color w:val="000000"/>
          <w:sz w:val="20"/>
          <w:szCs w:val="20"/>
        </w:rPr>
        <w:t>.</w:t>
      </w:r>
    </w:p>
    <w:p>
      <w:pPr>
        <w:pStyle w:val="BodyText"/>
        <w:spacing w:lineRule="auto" w:line="240" w:before="28" w:after="28"/>
        <w:ind w:hanging="0" w:start="0" w:end="-1"/>
        <w:jc w:val="both"/>
        <w:rPr/>
      </w:pPr>
      <w:r>
        <w:rPr>
          <w:rStyle w:val="Fontepargpadro"/>
          <w:rFonts w:ascii="Arial" w:hAnsi="Arial"/>
          <w:color w:val="000000"/>
          <w:sz w:val="20"/>
          <w:szCs w:val="20"/>
        </w:rPr>
        <w:t>13.11. Os débitos do CONTRATADO para com 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w:t>
      </w:r>
    </w:p>
    <w:p>
      <w:pPr>
        <w:pStyle w:val="BodyText"/>
        <w:spacing w:lineRule="auto" w:line="240" w:before="28" w:after="28"/>
        <w:ind w:hanging="0" w:start="0" w:end="-1"/>
        <w:jc w:val="both"/>
        <w:rPr/>
      </w:pPr>
      <w:r>
        <w:rPr>
          <w:rStyle w:val="Fontepargpadro"/>
          <w:rFonts w:ascii="Arial" w:hAnsi="Arial"/>
          <w:color w:val="000000"/>
          <w:sz w:val="20"/>
          <w:szCs w:val="20"/>
        </w:rPr>
        <w:t xml:space="preserve">13.11.1. Na impossibilidade do pagamento da multa por meio de descontos dos créditos existentes </w:t>
      </w:r>
      <w:r>
        <w:rPr>
          <w:rStyle w:val="Fontepargpadro1"/>
          <w:rFonts w:ascii="Arial" w:hAnsi="Arial"/>
          <w:color w:val="000000"/>
          <w:sz w:val="20"/>
          <w:szCs w:val="20"/>
        </w:rPr>
        <w:t>ou da garantia contratual,</w:t>
      </w:r>
      <w:r>
        <w:rPr>
          <w:rStyle w:val="Fontepargpadro"/>
          <w:rFonts w:ascii="Arial" w:hAnsi="Arial"/>
          <w:color w:val="000000"/>
          <w:sz w:val="20"/>
          <w:szCs w:val="20"/>
        </w:rPr>
        <w:t xml:space="preserve"> o CONTRATADO recolherá a multa por meio de Documento de Arrecadação Estadual (DAE), podendo ser substituído por outro instrumento legal, em nome do CONTRATANTE, se não o fizer, será cobrada em processo de execução.</w:t>
      </w:r>
    </w:p>
    <w:p>
      <w:pPr>
        <w:pStyle w:val="BodyText"/>
        <w:spacing w:lineRule="auto" w:line="240" w:before="28" w:after="28"/>
        <w:ind w:hanging="0" w:start="0" w:end="-1"/>
        <w:jc w:val="both"/>
        <w:rPr/>
      </w:pPr>
      <w:r>
        <w:rPr>
          <w:rStyle w:val="Fontepargpadro"/>
          <w:rFonts w:ascii="Arial" w:hAnsi="Arial"/>
          <w:b/>
          <w:bCs/>
          <w:color w:val="000000"/>
          <w:sz w:val="20"/>
          <w:szCs w:val="20"/>
        </w:rPr>
        <w:t>CLÁUSULA DÉCIMA QUARTA – DA EXTINÇÃO CONTRATUAL</w:t>
      </w:r>
    </w:p>
    <w:p>
      <w:pPr>
        <w:pStyle w:val="Nvel2-Red"/>
        <w:spacing w:lineRule="auto" w:line="240" w:before="28" w:after="28"/>
        <w:ind w:hanging="0" w:start="0" w:end="-1"/>
        <w:jc w:val="both"/>
        <w:rPr/>
      </w:pPr>
      <w:r>
        <w:rPr>
          <w:rStyle w:val="Fontepargpadro"/>
          <w:i w:val="false"/>
          <w:iCs w:val="false"/>
          <w:color w:val="000000"/>
          <w:sz w:val="20"/>
          <w:szCs w:val="20"/>
          <w:lang w:val="pt-PT"/>
        </w:rPr>
        <w:t>14.1. Este contrato se extingue nas seguintes hipóteses:</w:t>
      </w:r>
    </w:p>
    <w:p>
      <w:pPr>
        <w:pStyle w:val="Nvel2-Red"/>
        <w:spacing w:lineRule="auto" w:line="240" w:before="28" w:after="28"/>
        <w:ind w:hanging="0" w:start="0" w:end="-1"/>
        <w:jc w:val="both"/>
        <w:rPr/>
      </w:pPr>
      <w:r>
        <w:rPr>
          <w:rStyle w:val="Fontepargpadro"/>
          <w:i w:val="false"/>
          <w:iCs w:val="false"/>
          <w:color w:val="000000"/>
          <w:sz w:val="20"/>
          <w:szCs w:val="20"/>
          <w:lang w:val="pt-PT"/>
        </w:rPr>
        <w:t>I- Quando cumpridas as obrigações de ambas as partes, ainda que isso ocorra antes do prazo estipulado para tanto, e.</w:t>
      </w:r>
    </w:p>
    <w:p>
      <w:pPr>
        <w:pStyle w:val="Nivel2"/>
        <w:spacing w:lineRule="auto" w:line="240" w:before="28" w:after="28"/>
        <w:ind w:hanging="0" w:start="0" w:end="-1"/>
        <w:jc w:val="both"/>
        <w:rPr/>
      </w:pPr>
      <w:r>
        <w:rPr>
          <w:rStyle w:val="Fontepargpadro"/>
          <w:color w:val="000000"/>
          <w:sz w:val="20"/>
          <w:szCs w:val="20"/>
          <w:lang w:val="pt-PT"/>
        </w:rPr>
        <w:t xml:space="preserve">II- Quando mesmo não cumpridas as obrigações nele estipuladas, ou antes do prazo nele fixado, ocorrer algum dos motivos previstos no </w:t>
      </w:r>
      <w:hyperlink r:id="rId9" w:anchor="art137" w:tgtFrame="_top">
        <w:r>
          <w:rPr>
            <w:rStyle w:val="Hyperlink"/>
            <w:color w:val="000000"/>
            <w:sz w:val="20"/>
            <w:szCs w:val="20"/>
            <w:u w:val="none"/>
            <w:lang w:val="pt-PT"/>
          </w:rPr>
          <w:t>art. 137 da Lei nº 14.133/2021</w:t>
        </w:r>
      </w:hyperlink>
      <w:r>
        <w:rPr>
          <w:rStyle w:val="Fontepargpadro"/>
          <w:color w:val="000000"/>
          <w:sz w:val="20"/>
          <w:szCs w:val="20"/>
          <w:lang w:val="pt-PT"/>
        </w:rPr>
        <w:t>, bem como amigavelmente, assegurados o contraditório e a ampla defesa.</w:t>
      </w:r>
    </w:p>
    <w:p>
      <w:pPr>
        <w:pStyle w:val="Nivel2"/>
        <w:spacing w:lineRule="auto" w:line="240" w:before="28" w:after="28"/>
        <w:ind w:hanging="0" w:start="0" w:end="-1"/>
        <w:jc w:val="both"/>
        <w:rPr/>
      </w:pPr>
      <w:r>
        <w:rPr>
          <w:rStyle w:val="Fontepargpadro"/>
          <w:color w:val="000000"/>
          <w:sz w:val="20"/>
          <w:szCs w:val="20"/>
          <w:lang w:val="pt-PT"/>
        </w:rPr>
        <w:t xml:space="preserve">a) Na hipótese do inciso II, aplicam-se também os </w:t>
      </w:r>
      <w:hyperlink r:id="rId10" w:anchor="art138" w:tgtFrame="_top">
        <w:r>
          <w:rPr>
            <w:rStyle w:val="Hyperlink"/>
            <w:color w:val="000000"/>
            <w:sz w:val="20"/>
            <w:szCs w:val="20"/>
            <w:u w:val="none"/>
            <w:lang w:val="pt-PT"/>
          </w:rPr>
          <w:t>arts. 138 e 139 da mesma Lei</w:t>
        </w:r>
      </w:hyperlink>
      <w:r>
        <w:rPr>
          <w:rStyle w:val="Fontepargpadro"/>
          <w:color w:val="000000"/>
          <w:sz w:val="20"/>
          <w:szCs w:val="20"/>
          <w:lang w:val="pt-PT"/>
        </w:rPr>
        <w:t>.</w:t>
      </w:r>
    </w:p>
    <w:p>
      <w:pPr>
        <w:pStyle w:val="Nivel2"/>
        <w:spacing w:lineRule="auto" w:line="240" w:before="28" w:after="28"/>
        <w:ind w:hanging="0" w:start="0" w:end="-1"/>
        <w:jc w:val="both"/>
        <w:rPr/>
      </w:pPr>
      <w:r>
        <w:rPr>
          <w:rStyle w:val="Fontepargpadro"/>
          <w:color w:val="000000"/>
          <w:sz w:val="20"/>
          <w:szCs w:val="20"/>
          <w:lang w:val="pt-PT"/>
        </w:rPr>
        <w:t>14.2. A alteração social ou a modificação da finalidade ou da estrutura da empresa não ensejará a rescisão se não restringir sua capacidade de concluir o contrato.</w:t>
      </w:r>
    </w:p>
    <w:p>
      <w:pPr>
        <w:pStyle w:val="Nivel2"/>
        <w:spacing w:lineRule="auto" w:line="240" w:before="28" w:after="28"/>
        <w:ind w:hanging="0" w:start="0" w:end="-1"/>
        <w:jc w:val="both"/>
        <w:rPr/>
      </w:pPr>
      <w:r>
        <w:rPr>
          <w:rStyle w:val="Fontepargpadro"/>
          <w:color w:val="000000"/>
          <w:sz w:val="20"/>
          <w:szCs w:val="20"/>
          <w:lang w:val="pt-PT"/>
        </w:rPr>
        <w:t>14.2.1. Se a operação implicar mudança da pessoa jurídica CONTRATADA, deverá ser formalizado termo aditivo para alteração subjetiva.</w:t>
      </w:r>
    </w:p>
    <w:p>
      <w:pPr>
        <w:pStyle w:val="Nivel2"/>
        <w:spacing w:lineRule="auto" w:line="240" w:before="28" w:after="28"/>
        <w:ind w:hanging="0" w:start="0" w:end="-1"/>
        <w:jc w:val="both"/>
        <w:rPr/>
      </w:pPr>
      <w:r>
        <w:rPr>
          <w:rStyle w:val="Fontepargpadro"/>
          <w:color w:val="000000"/>
          <w:sz w:val="20"/>
          <w:szCs w:val="20"/>
          <w:lang w:val="pt-PT"/>
        </w:rPr>
        <w:t>14.3. O termo de rescisão, sempre que possível, será precedido:</w:t>
      </w:r>
    </w:p>
    <w:p>
      <w:pPr>
        <w:pStyle w:val="Nivel2"/>
        <w:spacing w:lineRule="auto" w:line="240" w:before="28" w:after="28"/>
        <w:ind w:hanging="0" w:start="0" w:end="-1"/>
        <w:jc w:val="both"/>
        <w:rPr/>
      </w:pPr>
      <w:r>
        <w:rPr>
          <w:rStyle w:val="Fontepargpadro"/>
          <w:color w:val="000000"/>
          <w:sz w:val="20"/>
          <w:szCs w:val="20"/>
          <w:lang w:val="pt-PT"/>
        </w:rPr>
        <w:t>14.3.1. Balanço dos eventos contratuais já cumpridos ou parcialmente cumpridos;</w:t>
      </w:r>
    </w:p>
    <w:p>
      <w:pPr>
        <w:pStyle w:val="Nivel2"/>
        <w:spacing w:lineRule="auto" w:line="240" w:before="28" w:after="28"/>
        <w:ind w:hanging="0" w:start="0" w:end="-1"/>
        <w:jc w:val="both"/>
        <w:rPr/>
      </w:pPr>
      <w:r>
        <w:rPr>
          <w:rStyle w:val="Fontepargpadro"/>
          <w:color w:val="000000"/>
          <w:sz w:val="20"/>
          <w:szCs w:val="20"/>
          <w:lang w:val="pt-PT"/>
        </w:rPr>
        <w:t xml:space="preserve">14.3.2. </w:t>
      </w:r>
      <w:r>
        <w:rPr>
          <w:rStyle w:val="Fontepargpadro"/>
          <w:color w:val="000000"/>
          <w:sz w:val="20"/>
          <w:szCs w:val="20"/>
        </w:rPr>
        <w:t>Relação dos pagamentos já efetuados e ainda devidos;</w:t>
      </w:r>
    </w:p>
    <w:p>
      <w:pPr>
        <w:pStyle w:val="Nivel2"/>
        <w:spacing w:lineRule="auto" w:line="240" w:before="28" w:after="28"/>
        <w:ind w:hanging="0" w:start="0" w:end="-1"/>
        <w:jc w:val="both"/>
        <w:rPr/>
      </w:pPr>
      <w:r>
        <w:rPr>
          <w:rStyle w:val="Fontepargpadro"/>
          <w:color w:val="000000"/>
          <w:sz w:val="20"/>
          <w:szCs w:val="20"/>
          <w:lang w:val="pt-PT"/>
        </w:rPr>
        <w:t>14</w:t>
      </w:r>
      <w:r>
        <w:rPr>
          <w:rStyle w:val="Fontepargpadro"/>
          <w:color w:val="000000"/>
          <w:sz w:val="20"/>
          <w:szCs w:val="20"/>
        </w:rPr>
        <w:t xml:space="preserve">.3.3. </w:t>
      </w:r>
      <w:r>
        <w:rPr>
          <w:rStyle w:val="Fontepargpadro"/>
          <w:color w:val="000000"/>
          <w:sz w:val="20"/>
          <w:szCs w:val="20"/>
          <w:lang w:val="pt-PT"/>
        </w:rPr>
        <w:t>Indenizações e multas.</w:t>
      </w:r>
    </w:p>
    <w:p>
      <w:pPr>
        <w:pStyle w:val="Nivel2"/>
        <w:spacing w:lineRule="auto" w:line="240" w:before="28" w:after="28"/>
        <w:ind w:hanging="0" w:start="0" w:end="-1"/>
        <w:jc w:val="both"/>
        <w:rPr/>
      </w:pPr>
      <w:r>
        <w:rPr>
          <w:rStyle w:val="Fontepargpadro"/>
          <w:color w:val="000000"/>
          <w:sz w:val="20"/>
          <w:szCs w:val="20"/>
          <w:lang w:val="pt-PT"/>
        </w:rPr>
        <w:t>14.4. A extinção do contrato não configura óbice para o reconhecimento do desequilíbrio econômico-financeiro, hipótese em que será concedida indenização por meio de termo indenizatório.</w:t>
      </w:r>
    </w:p>
    <w:p>
      <w:pPr>
        <w:pStyle w:val="Nivel2"/>
        <w:spacing w:lineRule="auto" w:line="240" w:before="28" w:after="28"/>
        <w:ind w:hanging="0" w:start="0" w:end="-1"/>
        <w:jc w:val="both"/>
        <w:rPr/>
      </w:pPr>
      <w:r>
        <w:rPr>
          <w:rStyle w:val="Fontepargpadro"/>
          <w:color w:val="000000"/>
          <w:sz w:val="20"/>
          <w:szCs w:val="20"/>
          <w:lang w:val="pt-PT"/>
        </w:rPr>
        <w:t>14.5. Este contrato poderá ser rescindido a qualquer tempo pelo CONTRATANTE, mediante aviso prévio de no mínimo 30 (trinta) dias, nos casos das rescisões decorrentes do previsto no inciso VIII, do art. 137, da Lei Federal nº 14.133/2021, sem que caiba ao CONTRATADO, direito à indenização de qualquer espécie.</w:t>
      </w:r>
    </w:p>
    <w:p>
      <w:pPr>
        <w:pStyle w:val="BodyText"/>
        <w:spacing w:lineRule="auto" w:line="240" w:before="28" w:after="28"/>
        <w:ind w:hanging="0" w:start="0" w:end="-1"/>
        <w:jc w:val="both"/>
        <w:rPr/>
      </w:pPr>
      <w:r>
        <w:rPr>
          <w:rStyle w:val="Fontepargpadro"/>
          <w:rFonts w:eastAsia="Arial" w:cs="Arial" w:ascii="Arial" w:hAnsi="Arial"/>
          <w:b/>
          <w:bCs/>
          <w:color w:val="000000"/>
          <w:sz w:val="20"/>
          <w:szCs w:val="20"/>
          <w:lang w:val="pt-PT"/>
        </w:rPr>
        <w:t>CLÁUSULA DÉCIMA QUINTA – DA DOTAÇÃO ORÇAMENTÁRIA</w:t>
      </w:r>
    </w:p>
    <w:p>
      <w:pPr>
        <w:pStyle w:val="BodyText"/>
        <w:spacing w:lineRule="auto" w:line="240" w:before="28" w:after="28"/>
        <w:ind w:hanging="0" w:start="0" w:end="-1"/>
        <w:jc w:val="both"/>
        <w:rPr/>
      </w:pPr>
      <w:r>
        <w:rPr>
          <w:rStyle w:val="Fontepargpadro"/>
          <w:rFonts w:eastAsia="Arial" w:cs="Arial" w:ascii="Arial" w:hAnsi="Arial"/>
          <w:color w:val="000000"/>
          <w:sz w:val="20"/>
          <w:szCs w:val="20"/>
          <w:lang w:val="pt-PT"/>
        </w:rPr>
        <w:t>15.1. As despesas decorrentes da presente contratação correrão à conta de recursos específicos consignados no Orçamento Geral do Estado deste exercício, na dotação abaixo discriminada, conforme o caso:</w:t>
      </w:r>
    </w:p>
    <w:p>
      <w:pPr>
        <w:pStyle w:val="BodyText"/>
        <w:spacing w:lineRule="auto" w:line="240" w:before="28" w:after="28"/>
        <w:ind w:hanging="0" w:start="0" w:end="-1"/>
        <w:jc w:val="both"/>
        <w:rPr/>
      </w:pPr>
      <w:r>
        <w:rPr>
          <w:rStyle w:val="Fontepargpadro"/>
          <w:rFonts w:eastAsia="Arial" w:cs="Arial" w:ascii="Arial" w:hAnsi="Arial"/>
          <w:color w:val="000000"/>
          <w:sz w:val="20"/>
          <w:szCs w:val="20"/>
          <w:lang w:val="pt-PT"/>
        </w:rPr>
        <w:t>15.1.1. Gestão/Unidade:</w:t>
      </w:r>
    </w:p>
    <w:p>
      <w:pPr>
        <w:pStyle w:val="BodyText"/>
        <w:spacing w:lineRule="auto" w:line="240" w:before="28" w:after="28"/>
        <w:ind w:hanging="0" w:start="0" w:end="-1"/>
        <w:jc w:val="both"/>
        <w:rPr/>
      </w:pPr>
      <w:r>
        <w:rPr>
          <w:rStyle w:val="Fontepargpadro"/>
          <w:rFonts w:eastAsia="Arial" w:cs="Arial" w:ascii="Arial" w:hAnsi="Arial"/>
          <w:color w:val="000000"/>
          <w:sz w:val="20"/>
          <w:szCs w:val="20"/>
          <w:lang w:val="pt-PT"/>
        </w:rPr>
        <w:t xml:space="preserve">15.1.2. </w:t>
      </w:r>
      <w:r>
        <w:rPr>
          <w:rStyle w:val="Fontepargpadro"/>
          <w:rFonts w:eastAsia="Arial" w:cs="Arial" w:ascii="Arial" w:hAnsi="Arial"/>
          <w:color w:val="000000"/>
          <w:sz w:val="20"/>
          <w:szCs w:val="20"/>
        </w:rPr>
        <w:t>Fonte de Recursos:</w:t>
      </w:r>
    </w:p>
    <w:p>
      <w:pPr>
        <w:pStyle w:val="BodyText"/>
        <w:spacing w:lineRule="auto" w:line="240" w:before="28" w:after="28"/>
        <w:ind w:hanging="0" w:start="0" w:end="-1"/>
        <w:jc w:val="both"/>
        <w:rPr/>
      </w:pPr>
      <w:r>
        <w:rPr>
          <w:rStyle w:val="Fontepargpadro"/>
          <w:rFonts w:ascii="Arial" w:hAnsi="Arial"/>
          <w:color w:val="000000"/>
          <w:sz w:val="20"/>
          <w:szCs w:val="20"/>
        </w:rPr>
        <w:t>1</w:t>
      </w:r>
      <w:r>
        <w:rPr>
          <w:rStyle w:val="Fontepargpadro"/>
          <w:rFonts w:eastAsia="Arial" w:cs="Arial" w:ascii="Arial" w:hAnsi="Arial"/>
          <w:color w:val="000000"/>
          <w:sz w:val="20"/>
          <w:szCs w:val="20"/>
          <w:lang w:val="pt-PT"/>
        </w:rPr>
        <w:t>5</w:t>
      </w:r>
      <w:r>
        <w:rPr>
          <w:rStyle w:val="Fontepargpadro"/>
          <w:rFonts w:eastAsia="Arial" w:cs="Arial" w:ascii="Arial" w:hAnsi="Arial"/>
          <w:color w:val="000000"/>
          <w:sz w:val="20"/>
          <w:szCs w:val="20"/>
        </w:rPr>
        <w:t>.1.3. Programa de Trabalho:</w:t>
      </w:r>
    </w:p>
    <w:p>
      <w:pPr>
        <w:pStyle w:val="BodyText"/>
        <w:spacing w:lineRule="auto" w:line="240" w:before="28" w:after="28"/>
        <w:ind w:hanging="0" w:start="0" w:end="-1"/>
        <w:jc w:val="both"/>
        <w:rPr/>
      </w:pPr>
      <w:r>
        <w:rPr>
          <w:rStyle w:val="Fontepargpadro"/>
          <w:rFonts w:ascii="Arial" w:hAnsi="Arial"/>
          <w:color w:val="000000"/>
          <w:sz w:val="20"/>
          <w:szCs w:val="20"/>
        </w:rPr>
        <w:t>15</w:t>
      </w:r>
      <w:r>
        <w:rPr>
          <w:rStyle w:val="Fontepargpadro"/>
          <w:rFonts w:eastAsia="Arial" w:cs="Arial" w:ascii="Arial" w:hAnsi="Arial"/>
          <w:color w:val="000000"/>
          <w:sz w:val="20"/>
          <w:szCs w:val="20"/>
        </w:rPr>
        <w:t>.1.4. Elemento de Despesa:</w:t>
      </w:r>
    </w:p>
    <w:p>
      <w:pPr>
        <w:pStyle w:val="Nivel2"/>
        <w:spacing w:lineRule="auto" w:line="240" w:before="28" w:after="28"/>
        <w:ind w:hanging="0" w:start="0" w:end="-1"/>
        <w:jc w:val="both"/>
        <w:rPr/>
      </w:pPr>
      <w:r>
        <w:rPr>
          <w:rStyle w:val="Fontepargpadro"/>
          <w:color w:val="000000"/>
          <w:sz w:val="20"/>
          <w:szCs w:val="20"/>
          <w:lang w:val="pt-PT"/>
        </w:rPr>
        <w:t>15.2. A dotação relativa aos exercícios financeiros subsequentes será indicada após aprovação da Lei Orçamentária respectiva e liberação dos créditos correspondentes, mediante apostilamento.</w:t>
      </w:r>
    </w:p>
    <w:p>
      <w:pPr>
        <w:pStyle w:val="Nivel2"/>
        <w:spacing w:lineRule="auto" w:line="240" w:before="28" w:after="28"/>
        <w:ind w:hanging="0" w:start="0" w:end="-1"/>
        <w:jc w:val="both"/>
        <w:rPr/>
      </w:pPr>
      <w:r>
        <w:rPr>
          <w:rStyle w:val="Fontepargpadro"/>
          <w:b/>
          <w:bCs/>
          <w:color w:val="000000"/>
          <w:sz w:val="20"/>
          <w:szCs w:val="20"/>
          <w:lang w:val="pt-PT"/>
        </w:rPr>
        <w:t>CLÁUSULA DÉCIMA SEXTA – DAS ALTERAÇÕES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16.1. Eventuais alterações contratuais reger-se-ão pela disciplina dos </w:t>
      </w:r>
      <w:hyperlink r:id="rId11" w:anchor="art124" w:tgtFrame="_top">
        <w:r>
          <w:rPr>
            <w:rStyle w:val="Hyperlink"/>
            <w:rFonts w:eastAsia="Arial" w:cs="Arial" w:ascii="Arial" w:hAnsi="Arial"/>
            <w:color w:val="000000"/>
            <w:sz w:val="20"/>
            <w:szCs w:val="20"/>
            <w:u w:val="none"/>
          </w:rPr>
          <w:t>arts. 124 e seguintes da Lei nº 14.133/2021</w:t>
        </w:r>
      </w:hyperlink>
      <w:r>
        <w:rPr>
          <w:rStyle w:val="Fontepargpadro"/>
          <w:rFonts w:eastAsia="Arial" w:cs="Arial" w:ascii="Arial" w:hAnsi="Arial"/>
          <w:color w:val="000000"/>
          <w:sz w:val="20"/>
          <w:szCs w:val="20"/>
        </w:rPr>
        <w:t>.</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16.2. </w:t>
      </w:r>
      <w:r>
        <w:rPr>
          <w:rStyle w:val="Fontepargpadro"/>
          <w:rFonts w:ascii="Arial" w:hAnsi="Arial"/>
          <w:color w:val="000000"/>
          <w:sz w:val="20"/>
          <w:szCs w:val="20"/>
        </w:rPr>
        <w:t>O CONTRATADO é obrigado a aceitar, nas mesmas condições contratuais, os acréscimos ou supressões que se fizerem necessários, até o limite de 25% (vinte e cinco por cento) do valor inicial atualizado do contrato.</w:t>
      </w:r>
    </w:p>
    <w:p>
      <w:pPr>
        <w:pStyle w:val="BodyText"/>
        <w:spacing w:lineRule="auto" w:line="240" w:before="28" w:after="28"/>
        <w:ind w:hanging="0" w:start="0" w:end="-1"/>
        <w:jc w:val="both"/>
        <w:rPr/>
      </w:pPr>
      <w:r>
        <w:rPr>
          <w:rStyle w:val="Fontepargpadro"/>
          <w:rFonts w:cs="Verdana" w:ascii="Arial" w:hAnsi="Arial"/>
          <w:color w:val="000000"/>
          <w:sz w:val="20"/>
          <w:szCs w:val="20"/>
        </w:rPr>
        <w:t xml:space="preserve">16.3. </w:t>
      </w:r>
      <w:r>
        <w:rPr>
          <w:rStyle w:val="Fontepargpadro"/>
          <w:rFonts w:eastAsia="Arial" w:cs="Arial" w:ascii="Arial" w:hAnsi="Arial"/>
          <w:color w:val="000000"/>
          <w:sz w:val="20"/>
          <w:szCs w:val="20"/>
        </w:rPr>
        <w:t xml:space="preserve">Registros que não caracterizam alteração do contrato podem ser realizados por simples apostila, dispensada a celebração de termo aditivo, na forma do </w:t>
      </w:r>
      <w:hyperlink r:id="rId12" w:anchor="art136" w:tgtFrame="_top">
        <w:r>
          <w:rPr>
            <w:rStyle w:val="Hyperlink"/>
            <w:rFonts w:eastAsia="Arial" w:cs="Arial" w:ascii="Arial" w:hAnsi="Arial"/>
            <w:color w:val="000000"/>
            <w:sz w:val="20"/>
            <w:szCs w:val="20"/>
            <w:u w:val="none"/>
          </w:rPr>
          <w:t>art. 136 da Lei nº 14.133/2021</w:t>
        </w:r>
      </w:hyperlink>
      <w:r>
        <w:rPr>
          <w:rStyle w:val="Fontepargpadro"/>
          <w:rFonts w:eastAsia="Arial" w:cs="Arial" w:ascii="Arial" w:hAnsi="Arial"/>
          <w:color w:val="000000"/>
          <w:sz w:val="20"/>
          <w:szCs w:val="20"/>
        </w:rPr>
        <w:t>.</w:t>
      </w:r>
    </w:p>
    <w:p>
      <w:pPr>
        <w:pStyle w:val="Nivel2"/>
        <w:spacing w:lineRule="auto" w:line="240" w:before="28" w:after="28"/>
        <w:ind w:hanging="0" w:start="0" w:end="-1"/>
        <w:jc w:val="both"/>
        <w:rPr/>
      </w:pPr>
      <w:r>
        <w:rPr>
          <w:rStyle w:val="Fontepargpadro"/>
          <w:b/>
          <w:bCs/>
          <w:color w:val="000000"/>
          <w:sz w:val="20"/>
          <w:szCs w:val="20"/>
          <w:lang w:val="pt-PT"/>
        </w:rPr>
        <w:t>CLÁUSULA DÉCIMA SÉTIMA – DOS CASOS OMISSOS</w:t>
      </w:r>
    </w:p>
    <w:p>
      <w:pPr>
        <w:pStyle w:val="BodyText"/>
        <w:spacing w:lineRule="auto" w:line="240" w:before="28" w:after="28"/>
        <w:ind w:hanging="0" w:start="0" w:end="-1"/>
        <w:jc w:val="both"/>
        <w:rPr/>
      </w:pPr>
      <w:r>
        <w:rPr>
          <w:rStyle w:val="Fontepargpadro"/>
          <w:rFonts w:ascii="Arial" w:hAnsi="Arial"/>
          <w:color w:val="000000"/>
          <w:sz w:val="20"/>
          <w:szCs w:val="20"/>
        </w:rPr>
        <w:t xml:space="preserve">17.1. Os casos omissos serão decididos pelo CONTRATANTE, segundo as disposições contidas na Lei </w:t>
      </w:r>
      <w:hyperlink r:id="rId13" w:tgtFrame="_top">
        <w:r>
          <w:rPr>
            <w:rStyle w:val="Hyperlink"/>
            <w:rFonts w:ascii="Arial" w:hAnsi="Arial"/>
            <w:color w:val="000000"/>
            <w:sz w:val="20"/>
            <w:szCs w:val="20"/>
            <w:u w:val="none"/>
          </w:rPr>
          <w:t>nº 14.133/2021</w:t>
        </w:r>
      </w:hyperlink>
      <w:r>
        <w:rPr>
          <w:rStyle w:val="Fontepargpadro"/>
          <w:rFonts w:ascii="Arial" w:hAnsi="Arial"/>
          <w:color w:val="000000"/>
          <w:sz w:val="20"/>
          <w:szCs w:val="20"/>
        </w:rPr>
        <w:t xml:space="preserve">, e demais normas estaduais aplicáveis e, subsidiariamente, segundo as disposições contidas na </w:t>
      </w:r>
      <w:hyperlink r:id="rId14" w:tgtFrame="_top">
        <w:r>
          <w:rPr>
            <w:rStyle w:val="Hyperlink"/>
            <w:rFonts w:ascii="Arial" w:hAnsi="Arial"/>
            <w:color w:val="000000"/>
            <w:sz w:val="20"/>
            <w:szCs w:val="20"/>
            <w:u w:val="none"/>
          </w:rPr>
          <w:t>Lei nº 8.078/1990 – Código de Defesa do Consumidor</w:t>
        </w:r>
      </w:hyperlink>
      <w:r>
        <w:rPr>
          <w:rStyle w:val="Fontepargpadro"/>
          <w:rFonts w:ascii="Arial" w:hAnsi="Arial"/>
          <w:color w:val="000000"/>
          <w:sz w:val="20"/>
          <w:szCs w:val="20"/>
        </w:rPr>
        <w:t xml:space="preserve"> – e normas e princípios gerais dos contratos.</w:t>
      </w:r>
    </w:p>
    <w:p>
      <w:pPr>
        <w:pStyle w:val="Nivel2"/>
        <w:spacing w:lineRule="auto" w:line="240" w:before="28" w:after="28"/>
        <w:ind w:hanging="0" w:start="0" w:end="-1"/>
        <w:jc w:val="both"/>
        <w:rPr/>
      </w:pPr>
      <w:r>
        <w:rPr>
          <w:rStyle w:val="Fontepargpadro"/>
          <w:b/>
          <w:bCs/>
          <w:color w:val="000000"/>
          <w:sz w:val="20"/>
          <w:szCs w:val="20"/>
          <w:lang w:val="pt-PT"/>
        </w:rPr>
        <w:t>CLÁUSULA DÉCIMA OITAVA – DA PUBLICAÇÃO</w:t>
      </w:r>
    </w:p>
    <w:p>
      <w:pPr>
        <w:pStyle w:val="Nivel2"/>
        <w:spacing w:lineRule="auto" w:line="240" w:before="28" w:after="28"/>
        <w:ind w:hanging="0" w:start="0" w:end="-1"/>
        <w:jc w:val="both"/>
        <w:rPr/>
      </w:pPr>
      <w:r>
        <w:rPr>
          <w:rStyle w:val="Fontepargpadro"/>
          <w:color w:val="000000"/>
          <w:sz w:val="20"/>
          <w:szCs w:val="20"/>
          <w:lang w:val="pt-PT"/>
        </w:rPr>
        <w:t xml:space="preserve">18.1. Incumbirá ao CONTRATANTE divulgar o presente instrumento no Portal Nacional de Contratações Públicas (PNCP), na forma prevista no </w:t>
      </w:r>
      <w:hyperlink r:id="rId15" w:anchor="art94" w:tgtFrame="_top">
        <w:r>
          <w:rPr>
            <w:rStyle w:val="Hyperlink"/>
            <w:color w:val="000000"/>
            <w:sz w:val="20"/>
            <w:szCs w:val="20"/>
            <w:u w:val="none"/>
            <w:lang w:val="pt-PT"/>
          </w:rPr>
          <w:t>art. 94 da Lei 14.133/2021</w:t>
        </w:r>
      </w:hyperlink>
      <w:r>
        <w:rPr>
          <w:rStyle w:val="Fontepargpadro"/>
          <w:color w:val="000000"/>
          <w:sz w:val="20"/>
          <w:szCs w:val="20"/>
          <w:lang w:val="pt-PT"/>
        </w:rPr>
        <w:t>, bem como no respectivo sítio oficial na Internet, em atenção a Lei nº 12.527/2011, regulamentada no Estado do Ceará pela Lei nº 15.175/2012.</w:t>
      </w:r>
    </w:p>
    <w:p>
      <w:pPr>
        <w:pStyle w:val="Normal"/>
        <w:spacing w:before="28" w:after="28"/>
        <w:ind w:hanging="0" w:start="0" w:end="-1"/>
        <w:jc w:val="both"/>
        <w:rPr/>
      </w:pPr>
      <w:r>
        <w:rPr>
          <w:rStyle w:val="Fontepargpadro"/>
          <w:rFonts w:ascii="Arial" w:hAnsi="Arial"/>
          <w:b/>
          <w:bCs/>
          <w:color w:val="000000"/>
          <w:sz w:val="20"/>
          <w:szCs w:val="20"/>
        </w:rPr>
        <w:t xml:space="preserve">CLÁUSULA </w:t>
      </w:r>
      <w:r>
        <w:rPr>
          <w:rStyle w:val="Fontepargpadro"/>
          <w:rFonts w:eastAsia="Arial" w:cs="Arial" w:ascii="Arial" w:hAnsi="Arial"/>
          <w:b/>
          <w:bCs/>
          <w:color w:val="000000"/>
          <w:sz w:val="20"/>
          <w:szCs w:val="20"/>
        </w:rPr>
        <w:t>DÉCIMA NONA</w:t>
      </w:r>
      <w:r>
        <w:rPr>
          <w:rStyle w:val="Fontepargpadro"/>
          <w:rFonts w:ascii="Arial" w:hAnsi="Arial"/>
          <w:b/>
          <w:bCs/>
          <w:color w:val="000000"/>
          <w:sz w:val="20"/>
          <w:szCs w:val="20"/>
        </w:rPr>
        <w:t xml:space="preserve"> – DA GESTÃO E FISCALIZAÇÃO</w:t>
      </w:r>
    </w:p>
    <w:p>
      <w:pPr>
        <w:pStyle w:val="Normal"/>
        <w:spacing w:before="28" w:after="28"/>
        <w:ind w:hanging="0" w:start="0" w:end="-1"/>
        <w:jc w:val="both"/>
        <w:rPr/>
      </w:pPr>
      <w:r>
        <w:rPr>
          <w:rStyle w:val="Fontepargpadro"/>
          <w:rFonts w:cs="Verdana" w:ascii="Arial" w:hAnsi="Arial"/>
          <w:color w:val="000000"/>
          <w:sz w:val="20"/>
          <w:szCs w:val="20"/>
        </w:rPr>
        <w:t>19.1. O modelo de gestão contratual consta no Termo de Referência, anexo a este contrato.</w:t>
      </w:r>
    </w:p>
    <w:p>
      <w:pPr>
        <w:pStyle w:val="Normal"/>
        <w:spacing w:before="28" w:after="28"/>
        <w:ind w:hanging="0" w:start="0" w:end="-1"/>
        <w:jc w:val="both"/>
        <w:rPr/>
      </w:pPr>
      <w:r>
        <w:rPr>
          <w:rStyle w:val="Fontepargpadro"/>
          <w:rFonts w:cs="Verdana" w:ascii="Arial" w:hAnsi="Arial"/>
          <w:color w:val="000000"/>
          <w:sz w:val="20"/>
          <w:szCs w:val="20"/>
        </w:rPr>
        <w:t>19.2. A execução contratual será acompanhada pelo(a) Gestor(a) do Contrato _________</w:t>
      </w:r>
      <w:r>
        <w:rPr>
          <w:rStyle w:val="Fontepargpadro"/>
          <w:rFonts w:cs="Arial" w:ascii="Arial" w:hAnsi="Arial"/>
          <w:color w:val="000000"/>
          <w:sz w:val="20"/>
          <w:szCs w:val="20"/>
        </w:rPr>
        <w:t>_ , CPF _______, representan</w:t>
      </w:r>
      <w:r>
        <w:rPr>
          <w:rStyle w:val="Fontepargpadro"/>
          <w:rFonts w:cs="Verdana" w:ascii="Arial" w:hAnsi="Arial"/>
          <w:color w:val="000000"/>
          <w:sz w:val="20"/>
          <w:szCs w:val="20"/>
        </w:rPr>
        <w:t>te especialmente designado(a) para este fim</w:t>
      </w:r>
      <w:r>
        <w:rPr>
          <w:rStyle w:val="Fontepargpadro"/>
          <w:rFonts w:eastAsia="Calibri" w:cs="Arial" w:ascii="Arial" w:hAnsi="Arial"/>
          <w:color w:val="000000"/>
          <w:sz w:val="20"/>
          <w:szCs w:val="20"/>
        </w:rPr>
        <w:t xml:space="preserve">, </w:t>
      </w:r>
      <w:r>
        <w:rPr>
          <w:rStyle w:val="Fontepargpadro"/>
          <w:rFonts w:cs="Arial" w:ascii="Arial" w:hAnsi="Arial"/>
          <w:color w:val="000000"/>
          <w:sz w:val="20"/>
          <w:szCs w:val="20"/>
        </w:rPr>
        <w:t>ou pelo</w:t>
      </w:r>
      <w:r>
        <w:rPr>
          <w:rStyle w:val="Fontepargpadro"/>
          <w:rFonts w:cs="Verdana" w:ascii="Arial" w:hAnsi="Arial"/>
          <w:color w:val="000000"/>
          <w:sz w:val="20"/>
          <w:szCs w:val="20"/>
        </w:rPr>
        <w:t>(a)</w:t>
      </w:r>
      <w:r>
        <w:rPr>
          <w:rStyle w:val="Fontepargpadro"/>
          <w:rFonts w:cs="Arial" w:ascii="Arial" w:hAnsi="Arial"/>
          <w:color w:val="000000"/>
          <w:sz w:val="20"/>
          <w:szCs w:val="20"/>
        </w:rPr>
        <w:t xml:space="preserve"> respectivo</w:t>
      </w:r>
      <w:r>
        <w:rPr>
          <w:rStyle w:val="Fontepargpadro"/>
          <w:rFonts w:cs="Verdana" w:ascii="Arial" w:hAnsi="Arial"/>
          <w:color w:val="000000"/>
          <w:sz w:val="20"/>
          <w:szCs w:val="20"/>
        </w:rPr>
        <w:t>(a)</w:t>
      </w:r>
      <w:r>
        <w:rPr>
          <w:rStyle w:val="Fontepargpadro"/>
          <w:rFonts w:cs="Arial" w:ascii="Arial" w:hAnsi="Arial"/>
          <w:color w:val="000000"/>
          <w:sz w:val="20"/>
          <w:szCs w:val="20"/>
        </w:rPr>
        <w:t xml:space="preserve"> substituto</w:t>
      </w:r>
      <w:r>
        <w:rPr>
          <w:rStyle w:val="Fontepargpadro"/>
          <w:rFonts w:cs="Verdana" w:ascii="Arial" w:hAnsi="Arial"/>
          <w:color w:val="000000"/>
          <w:sz w:val="20"/>
          <w:szCs w:val="20"/>
        </w:rPr>
        <w:t>(a)</w:t>
      </w:r>
      <w:r>
        <w:rPr>
          <w:rStyle w:val="Fontepargpadro"/>
          <w:rFonts w:cs="Arial" w:ascii="Arial" w:hAnsi="Arial"/>
          <w:color w:val="000000"/>
          <w:sz w:val="20"/>
          <w:szCs w:val="20"/>
        </w:rPr>
        <w:t>.</w:t>
      </w:r>
    </w:p>
    <w:p>
      <w:pPr>
        <w:pStyle w:val="Nivel2"/>
        <w:spacing w:lineRule="auto" w:line="240" w:before="28" w:after="28"/>
        <w:ind w:hanging="0" w:start="0" w:end="-1"/>
        <w:jc w:val="both"/>
        <w:rPr/>
      </w:pPr>
      <w:r>
        <w:rPr>
          <w:rStyle w:val="Fontepargpadro"/>
          <w:b/>
          <w:bCs/>
          <w:color w:val="000000"/>
          <w:sz w:val="20"/>
          <w:szCs w:val="20"/>
          <w:lang w:val="pt-PT"/>
        </w:rPr>
        <w:t>CLÁUSULA VIGÉSIMA – DO FORO</w:t>
      </w:r>
    </w:p>
    <w:p>
      <w:pPr>
        <w:pStyle w:val="Nivel2"/>
        <w:spacing w:lineRule="auto" w:line="240" w:before="28" w:after="28"/>
        <w:ind w:hanging="0" w:start="0" w:end="-1"/>
        <w:jc w:val="both"/>
        <w:rPr/>
      </w:pPr>
      <w:r>
        <w:rPr>
          <w:rStyle w:val="Fontepargpadro"/>
          <w:color w:val="000000"/>
          <w:sz w:val="20"/>
          <w:szCs w:val="20"/>
          <w:lang w:val="pt-PT"/>
        </w:rPr>
        <w:t xml:space="preserve">20.1. Fica eleito o foro do município da sede do CONTRATANTE, para dirimir os litígios que decorrerem da execução deste Termo de Contrato que não puderem ser compostos pela conciliação, conforme </w:t>
      </w:r>
      <w:hyperlink r:id="rId16" w:anchor="art92%C2%A71" w:tgtFrame="_top">
        <w:r>
          <w:rPr>
            <w:rStyle w:val="Hyperlink"/>
            <w:color w:val="000000"/>
            <w:sz w:val="20"/>
            <w:szCs w:val="20"/>
            <w:u w:val="none"/>
            <w:lang w:val="pt-PT"/>
          </w:rPr>
          <w:t>art. 92, §1º, da Lei nº 14.133/2021.</w:t>
        </w:r>
      </w:hyperlink>
    </w:p>
    <w:p>
      <w:pPr>
        <w:pStyle w:val="Nivel2"/>
        <w:spacing w:lineRule="auto" w:line="240" w:before="28" w:after="28"/>
        <w:ind w:hanging="0" w:start="0" w:end="-1"/>
        <w:jc w:val="both"/>
        <w:rPr/>
      </w:pPr>
      <w:r>
        <w:rPr>
          <w:rStyle w:val="Fontepargpadro"/>
          <w:color w:val="000000"/>
          <w:sz w:val="20"/>
          <w:szCs w:val="20"/>
          <w:lang w:val="pt-PT"/>
        </w:rPr>
        <w:t>E, por estarem de acordo, foi mandado lavrar o presente contrato, que está visado pela Assessoria Jurídica do CONTRATANTE, e do qual se extraíram 3 (três) vias de igual teor e forma, para um só efeito, as quais, depois de lidas e achadas conforme, vão assinadas pelos representantes das partes e pelas testemunhas abaixo.</w:t>
      </w:r>
    </w:p>
    <w:p>
      <w:pPr>
        <w:pStyle w:val="BodyText"/>
        <w:tabs>
          <w:tab w:val="clear" w:pos="709"/>
          <w:tab w:val="left" w:pos="993" w:leader="none"/>
          <w:tab w:val="left" w:pos="5742" w:leader="none"/>
        </w:tabs>
        <w:spacing w:lineRule="auto" w:line="240" w:before="28" w:after="28"/>
        <w:ind w:hanging="0" w:start="0" w:end="-1"/>
        <w:jc w:val="both"/>
        <w:rPr>
          <w:rFonts w:ascii="Arial" w:hAnsi="Arial"/>
          <w:color w:val="000000"/>
          <w:sz w:val="20"/>
          <w:szCs w:val="20"/>
        </w:rPr>
      </w:pPr>
      <w:r>
        <w:rPr>
          <w:rFonts w:ascii="Arial" w:hAnsi="Arial"/>
          <w:color w:val="000000"/>
          <w:sz w:val="20"/>
          <w:szCs w:val="20"/>
        </w:rPr>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color w:val="000000"/>
          <w:sz w:val="20"/>
          <w:szCs w:val="20"/>
        </w:rPr>
      </w:pPr>
      <w:r>
        <w:rPr>
          <w:rFonts w:cs="Verdana" w:ascii="Arial" w:hAnsi="Arial"/>
          <w:color w:val="000000"/>
          <w:sz w:val="20"/>
          <w:szCs w:val="20"/>
        </w:rPr>
        <w:t>Local e data</w:t>
      </w:r>
    </w:p>
    <w:p>
      <w:pPr>
        <w:pStyle w:val="Contedodatabela"/>
        <w:snapToGrid w:val="false"/>
        <w:spacing w:before="28" w:after="28"/>
        <w:ind w:hanging="0" w:start="0" w:end="-1"/>
        <w:jc w:val="both"/>
        <w:rPr>
          <w:rFonts w:ascii="Arial" w:hAnsi="Arial"/>
          <w:color w:val="000000"/>
          <w:sz w:val="20"/>
          <w:szCs w:val="20"/>
        </w:rPr>
      </w:pPr>
      <w:r>
        <w:rPr>
          <w:rFonts w:ascii="Arial" w:hAnsi="Arial"/>
          <w:color w:val="000000"/>
          <w:sz w:val="20"/>
          <w:szCs w:val="20"/>
        </w:rPr>
      </w:r>
    </w:p>
    <w:p>
      <w:pPr>
        <w:pStyle w:val="Contedodatabela"/>
        <w:snapToGrid w:val="false"/>
        <w:spacing w:before="28" w:after="28"/>
        <w:ind w:hanging="0" w:start="0" w:end="-1"/>
        <w:jc w:val="both"/>
        <w:rPr>
          <w:rFonts w:ascii="Arial" w:hAnsi="Arial"/>
          <w:color w:val="000000"/>
          <w:sz w:val="20"/>
          <w:szCs w:val="20"/>
        </w:rPr>
      </w:pPr>
      <w:r>
        <w:rPr>
          <w:rFonts w:ascii="Arial" w:hAnsi="Arial"/>
          <w:color w:val="000000"/>
          <w:sz w:val="20"/>
          <w:szCs w:val="20"/>
        </w:rPr>
        <w:t>(nome do representante)                                      (nome do representante)</w:t>
      </w:r>
    </w:p>
    <w:p>
      <w:pPr>
        <w:pStyle w:val="Contedodatabela"/>
        <w:spacing w:before="28" w:after="28"/>
        <w:ind w:hanging="0" w:start="0" w:end="-1"/>
        <w:jc w:val="both"/>
        <w:rPr>
          <w:rFonts w:ascii="Arial" w:hAnsi="Arial"/>
          <w:color w:val="000000"/>
          <w:sz w:val="20"/>
          <w:szCs w:val="20"/>
        </w:rPr>
      </w:pPr>
      <w:r>
        <w:rPr>
          <w:rFonts w:ascii="Arial" w:hAnsi="Arial"/>
          <w:color w:val="000000"/>
          <w:sz w:val="20"/>
          <w:szCs w:val="20"/>
        </w:rPr>
        <w:t>CONTRATANTE                                                    CONTRATADO</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Testemunhas:</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(nome da testemunha 1)                                                  (nome da testemunha 2)</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RG:                                                                              RG:</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CPF:                                                                            CPF:</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Visto:</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pPr>
      <w:r>
        <w:rPr>
          <w:rStyle w:val="Fontepargpadro"/>
          <w:rFonts w:ascii="Arial" w:hAnsi="Arial"/>
          <w:color w:val="000000"/>
          <w:sz w:val="20"/>
          <w:szCs w:val="20"/>
        </w:rPr>
        <w:t>(nome do(a) procurador(a)/assessor(a) jurídico(a) da CONTRATANTE)</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Default"/>
        <w:tabs>
          <w:tab w:val="clear" w:pos="709"/>
          <w:tab w:val="left" w:pos="843" w:leader="none"/>
        </w:tabs>
        <w:spacing w:before="113" w:after="57"/>
        <w:ind w:hanging="0" w:start="0" w:end="-1"/>
        <w:jc w:val="both"/>
        <w:rPr>
          <w:rFonts w:ascii="Arial" w:hAnsi="Arial"/>
          <w:color w:val="000000"/>
          <w:sz w:val="20"/>
          <w:szCs w:val="20"/>
        </w:rPr>
      </w:pPr>
      <w:r>
        <w:rPr>
          <w:rFonts w:ascii="Arial" w:hAnsi="Arial"/>
          <w:color w:val="000000"/>
          <w:sz w:val="20"/>
          <w:szCs w:val="20"/>
        </w:rPr>
      </w:r>
      <w:r>
        <w:br w:type="page"/>
      </w:r>
    </w:p>
    <w:p>
      <w:pPr>
        <w:pStyle w:val="Default"/>
        <w:tabs>
          <w:tab w:val="clear" w:pos="709"/>
          <w:tab w:val="left" w:pos="843" w:leader="none"/>
        </w:tabs>
        <w:spacing w:before="28" w:after="28"/>
        <w:ind w:hanging="0" w:start="0" w:end="-1"/>
        <w:jc w:val="center"/>
        <w:rPr/>
      </w:pPr>
      <w:r>
        <w:rPr>
          <w:rStyle w:val="Fontepargpadro"/>
          <w:rFonts w:ascii="Arial" w:hAnsi="Arial"/>
          <w:b/>
          <w:bCs/>
          <w:color w:val="000000"/>
          <w:sz w:val="20"/>
          <w:szCs w:val="20"/>
        </w:rPr>
        <w:t xml:space="preserve">ANEXO IV B </w:t>
      </w:r>
      <w:r>
        <w:rPr>
          <w:rStyle w:val="Fontepargpadro"/>
          <w:rFonts w:ascii="Arial" w:hAnsi="Arial"/>
          <w:b/>
          <w:bCs/>
          <w:color w:val="000000"/>
          <w:kern w:val="0"/>
          <w:sz w:val="20"/>
          <w:szCs w:val="20"/>
        </w:rPr>
        <w:t>–</w:t>
      </w:r>
      <w:r>
        <w:rPr>
          <w:rStyle w:val="Fontepargpadro"/>
          <w:rFonts w:ascii="Arial" w:hAnsi="Arial"/>
          <w:b/>
          <w:bCs/>
          <w:color w:val="000000"/>
          <w:sz w:val="20"/>
          <w:szCs w:val="20"/>
        </w:rPr>
        <w:t xml:space="preserve"> MINUTA DO TERMO DE CONTRATO </w:t>
      </w:r>
      <w:r>
        <w:rPr>
          <w:rStyle w:val="Fontepargpadro"/>
          <w:rFonts w:eastAsia="Times New Roman" w:cs="Arial" w:ascii="Arial" w:hAnsi="Arial"/>
          <w:i/>
          <w:iCs/>
          <w:color w:val="000000"/>
          <w:sz w:val="20"/>
          <w:szCs w:val="20"/>
          <w:shd w:fill="auto" w:val="clear"/>
        </w:rPr>
        <w:t>(MODELO PARA ESTATAIS)</w:t>
      </w:r>
    </w:p>
    <w:p>
      <w:pPr>
        <w:pStyle w:val="Default"/>
        <w:tabs>
          <w:tab w:val="clear" w:pos="709"/>
          <w:tab w:val="left" w:pos="843" w:leader="none"/>
        </w:tabs>
        <w:spacing w:before="0" w:after="0"/>
        <w:ind w:hanging="0" w:start="0" w:end="-1"/>
        <w:jc w:val="both"/>
        <w:rPr>
          <w:rFonts w:ascii="Arial" w:hAnsi="Arial"/>
          <w:color w:val="000000"/>
          <w:sz w:val="20"/>
          <w:szCs w:val="20"/>
        </w:rPr>
      </w:pPr>
      <w:r>
        <w:rPr>
          <w:rFonts w:ascii="Arial" w:hAnsi="Arial"/>
          <w:color w:val="000000"/>
          <w:sz w:val="20"/>
          <w:szCs w:val="20"/>
        </w:rPr>
      </w:r>
    </w:p>
    <w:p>
      <w:pPr>
        <w:pStyle w:val="Normal"/>
        <w:spacing w:before="0" w:after="0"/>
        <w:ind w:hanging="0" w:start="0" w:end="-1"/>
        <w:jc w:val="both"/>
        <w:rPr>
          <w:rFonts w:ascii="Arial" w:hAnsi="Arial"/>
          <w:color w:val="000000"/>
          <w:sz w:val="20"/>
          <w:szCs w:val="20"/>
        </w:rPr>
      </w:pPr>
      <w:r>
        <w:rPr>
          <w:rFonts w:ascii="Arial" w:hAnsi="Arial"/>
          <w:color w:val="000000"/>
          <w:sz w:val="20"/>
          <w:szCs w:val="20"/>
        </w:rPr>
        <w:t>Contrato nº ___ / 20__ –</w:t>
      </w:r>
    </w:p>
    <w:p>
      <w:pPr>
        <w:pStyle w:val="Normal"/>
        <w:spacing w:before="0" w:after="0"/>
        <w:ind w:hanging="0" w:start="0" w:end="-1"/>
        <w:jc w:val="both"/>
        <w:rPr/>
      </w:pPr>
      <w:r>
        <w:rPr>
          <w:rStyle w:val="Fontepargpadro"/>
          <w:rFonts w:ascii="Arial" w:hAnsi="Arial"/>
          <w:color w:val="000000"/>
          <w:sz w:val="20"/>
          <w:szCs w:val="20"/>
        </w:rPr>
        <w:t xml:space="preserve">Processo nº </w:t>
      </w:r>
      <w:r>
        <w:rPr>
          <w:rStyle w:val="Fontepargpadro"/>
          <w:rFonts w:cs="Calibri" w:ascii="Arial" w:hAnsi="Arial"/>
          <w:color w:val="000000"/>
          <w:sz w:val="20"/>
          <w:szCs w:val="20"/>
        </w:rPr>
        <w:t>30032.001755/2024-09</w:t>
      </w:r>
    </w:p>
    <w:p>
      <w:pPr>
        <w:pStyle w:val="BodyText"/>
        <w:tabs>
          <w:tab w:val="clear" w:pos="709"/>
        </w:tabs>
        <w:autoSpaceDE w:val="false"/>
        <w:spacing w:lineRule="auto" w:line="240" w:before="0" w:after="0"/>
        <w:ind w:hanging="0" w:start="0" w:end="-1"/>
        <w:jc w:val="both"/>
        <w:rPr/>
      </w:pPr>
      <w:r>
        <w:rPr>
          <w:rStyle w:val="Fontepargpadro"/>
          <w:rFonts w:cs="Arial" w:ascii="Arial" w:hAnsi="Arial"/>
          <w:color w:val="000000"/>
          <w:sz w:val="20"/>
          <w:szCs w:val="20"/>
        </w:rPr>
        <w:t xml:space="preserve">CONTRATO QUE ENTRE SI CELEBRAM A </w:t>
      </w:r>
      <w:r>
        <w:rPr>
          <w:rStyle w:val="Fontepargpadro2"/>
          <w:rFonts w:eastAsia="Times New Roman" w:ascii="Arial" w:hAnsi="Arial"/>
          <w:caps/>
          <w:color w:val="000000"/>
          <w:sz w:val="20"/>
          <w:szCs w:val="20"/>
        </w:rPr>
        <w:t xml:space="preserve">Empresa De Tecnologia Da Informação Do Ceará – ETICE </w:t>
      </w:r>
      <w:r>
        <w:rPr>
          <w:rStyle w:val="Fontepargpadro"/>
          <w:rFonts w:cs="Arial" w:ascii="Arial" w:hAnsi="Arial"/>
          <w:color w:val="000000"/>
          <w:sz w:val="20"/>
          <w:szCs w:val="20"/>
        </w:rPr>
        <w:t>E (O) A _____________________, ABAIXO QUALIFICADOS, PARA O FIM QUE NELE SE DECLARA.</w:t>
      </w:r>
    </w:p>
    <w:p>
      <w:pPr>
        <w:pStyle w:val="Normal"/>
        <w:spacing w:before="0" w:after="0"/>
        <w:ind w:hanging="0" w:start="0" w:end="-1"/>
        <w:jc w:val="both"/>
        <w:rPr>
          <w:rFonts w:ascii="Arial" w:hAnsi="Arial" w:cs="Arial"/>
          <w:color w:val="000000"/>
          <w:sz w:val="20"/>
          <w:szCs w:val="20"/>
        </w:rPr>
      </w:pPr>
      <w:r>
        <w:rPr>
          <w:rFonts w:cs="Arial" w:ascii="Arial" w:hAnsi="Arial"/>
          <w:color w:val="000000"/>
          <w:sz w:val="20"/>
          <w:szCs w:val="20"/>
        </w:rPr>
      </w:r>
    </w:p>
    <w:p>
      <w:pPr>
        <w:pStyle w:val="Normal"/>
        <w:tabs>
          <w:tab w:val="clear" w:pos="709"/>
          <w:tab w:val="left" w:pos="0" w:leader="none"/>
        </w:tabs>
        <w:spacing w:before="0" w:after="28"/>
        <w:ind w:hanging="0" w:start="0" w:end="-1"/>
        <w:jc w:val="both"/>
        <w:rPr/>
      </w:pPr>
      <w:r>
        <w:rPr>
          <w:rStyle w:val="Fontepargpadro"/>
          <w:rFonts w:ascii="Arial" w:hAnsi="Arial"/>
          <w:color w:val="000000"/>
          <w:sz w:val="20"/>
          <w:szCs w:val="20"/>
        </w:rPr>
        <w:t xml:space="preserve">A Empresa De Tecnologia Da Informação Do Ceará – ETICE, situada na ______________________, inscrita(o) no CNPJ sob o nº __________________, doravante denominada(o) CONTRATANTE, neste ato representada(o) pelo _________________________________, (nacionalidade), portador da Carteira de Identidade nº _____________, e do CPF nº _______________, residente e domiciliada(o) em (Município - UF), na ________________________________, e a ____________________________, com sede na _________________________, CEP: ___________, Fone: ______________, inscrita no </w:t>
      </w:r>
      <w:r>
        <w:rPr>
          <w:rStyle w:val="Fontepargpadro"/>
          <w:rFonts w:cs="Arial" w:ascii="Arial" w:hAnsi="Arial"/>
          <w:color w:val="000000"/>
          <w:sz w:val="20"/>
          <w:szCs w:val="20"/>
        </w:rPr>
        <w:t>CPF/</w:t>
      </w:r>
      <w:r>
        <w:rPr>
          <w:rStyle w:val="Fontepargpadro"/>
          <w:rFonts w:ascii="Arial" w:hAnsi="Arial"/>
          <w:color w:val="000000"/>
          <w:sz w:val="20"/>
          <w:szCs w:val="20"/>
        </w:rPr>
        <w:t>CNPJ sob o nº __________________, doravante denominado CONTRATADO, representado neste ato pelo __________________, (nacionalidade), portador da Carteira de Identidade nº _____________, e do CPF nº __________________, residente e domiciliada(o) em (Município - UF), na ____________________________, têm entre si justa e acordada a celebração do presente contrato, mediante as cláusulas e condições seguintes:</w:t>
      </w:r>
    </w:p>
    <w:p>
      <w:pPr>
        <w:pStyle w:val="Normal"/>
        <w:spacing w:before="28" w:after="28"/>
        <w:ind w:hanging="0" w:start="0" w:end="-1"/>
        <w:jc w:val="both"/>
        <w:rPr/>
      </w:pPr>
      <w:r>
        <w:rPr>
          <w:rStyle w:val="Fontepargpadro"/>
          <w:rFonts w:ascii="Arial" w:hAnsi="Arial"/>
          <w:b/>
          <w:bCs/>
          <w:color w:val="000000"/>
          <w:sz w:val="20"/>
          <w:szCs w:val="20"/>
        </w:rPr>
        <w:t xml:space="preserve">CLÁUSULA PRIMEIRA – DA </w:t>
      </w:r>
      <w:r>
        <w:rPr>
          <w:rStyle w:val="Fontepargpadro"/>
          <w:rFonts w:cs="Verdana" w:ascii="Arial" w:hAnsi="Arial"/>
          <w:b/>
          <w:bCs/>
          <w:color w:val="000000"/>
          <w:sz w:val="20"/>
          <w:szCs w:val="20"/>
        </w:rPr>
        <w:t>FUNDAMENTAÇÃO</w:t>
      </w:r>
    </w:p>
    <w:p>
      <w:pPr>
        <w:pStyle w:val="Normal"/>
        <w:spacing w:before="28" w:after="28"/>
        <w:ind w:hanging="0" w:start="0" w:end="-1"/>
        <w:jc w:val="both"/>
        <w:rPr/>
      </w:pPr>
      <w:r>
        <w:rPr>
          <w:rStyle w:val="Fontepargpadro"/>
          <w:rFonts w:ascii="Arial" w:hAnsi="Arial"/>
          <w:color w:val="000000"/>
          <w:sz w:val="20"/>
          <w:szCs w:val="20"/>
        </w:rPr>
        <w:t>1.1. O presente contrato tem como fundamento o Pregão Eletrônico n° 20250005 e seus anexos, os preceitos do direito público, Lei Federal nº 13.303, de 30 de junho de 2016, o Regulamento Interno de Licitações e Contratos e demais legislação aplicável ao cumprimento de seu objeto.</w:t>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b/>
          <w:bCs/>
          <w:color w:val="000000"/>
          <w:sz w:val="20"/>
          <w:szCs w:val="20"/>
        </w:rPr>
      </w:pPr>
      <w:r>
        <w:rPr>
          <w:rFonts w:cs="Verdana" w:ascii="Arial" w:hAnsi="Arial"/>
          <w:b/>
          <w:bCs/>
          <w:color w:val="000000"/>
          <w:sz w:val="20"/>
          <w:szCs w:val="20"/>
        </w:rPr>
        <w:t>CLÁUSULA SEGUNDA – DA VINCULAÇÃO AO EDITAL E A PROPOSTA</w:t>
      </w:r>
    </w:p>
    <w:p>
      <w:pPr>
        <w:pStyle w:val="Normal"/>
        <w:tabs>
          <w:tab w:val="clear" w:pos="709"/>
          <w:tab w:val="left" w:pos="993" w:leader="none"/>
          <w:tab w:val="left" w:pos="5742" w:leader="none"/>
        </w:tabs>
        <w:spacing w:before="28" w:after="28"/>
        <w:ind w:hanging="0" w:start="0" w:end="-1"/>
        <w:jc w:val="both"/>
        <w:rPr/>
      </w:pPr>
      <w:r>
        <w:rPr>
          <w:rStyle w:val="Fontepargpadro"/>
          <w:rFonts w:ascii="Arial" w:hAnsi="Arial"/>
          <w:color w:val="000000"/>
          <w:sz w:val="20"/>
          <w:szCs w:val="20"/>
        </w:rPr>
        <w:t>2.1. O cumprimento deste contrato está vinculado aos termos do edital do Pregão Eletrônico nº 20250005</w:t>
      </w:r>
      <w:r>
        <w:rPr>
          <w:rStyle w:val="Fontepargpadro"/>
          <w:rFonts w:cs="Arial" w:ascii="Arial" w:hAnsi="Arial"/>
          <w:i/>
          <w:iCs/>
          <w:color w:val="000000"/>
          <w:sz w:val="20"/>
          <w:szCs w:val="20"/>
        </w:rPr>
        <w:t xml:space="preserve">, </w:t>
      </w:r>
      <w:r>
        <w:rPr>
          <w:rStyle w:val="Fontepargpadro"/>
          <w:rFonts w:cs="Arial" w:ascii="Arial" w:hAnsi="Arial"/>
          <w:color w:val="000000"/>
          <w:sz w:val="20"/>
          <w:szCs w:val="20"/>
        </w:rPr>
        <w:t xml:space="preserve">o Termo de Referência, a proposta do contratado e eventuais anexos dos respectivos documentos </w:t>
      </w:r>
      <w:r>
        <w:rPr>
          <w:rStyle w:val="Fontepargpadro"/>
          <w:rFonts w:ascii="Arial" w:hAnsi="Arial"/>
          <w:color w:val="000000"/>
          <w:sz w:val="20"/>
          <w:szCs w:val="20"/>
        </w:rPr>
        <w:t>os quais constituem parte deste instrumento, independente de sua transcrição.</w:t>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b/>
          <w:bCs/>
          <w:color w:val="000000"/>
          <w:sz w:val="20"/>
          <w:szCs w:val="20"/>
        </w:rPr>
      </w:pPr>
      <w:r>
        <w:rPr>
          <w:rFonts w:cs="Verdana" w:ascii="Arial" w:hAnsi="Arial"/>
          <w:b/>
          <w:bCs/>
          <w:color w:val="000000"/>
          <w:sz w:val="20"/>
          <w:szCs w:val="20"/>
        </w:rPr>
        <w:t>CLÁUSULA TERCEIRA – DO OBJETO</w:t>
      </w:r>
    </w:p>
    <w:p>
      <w:pPr>
        <w:pStyle w:val="Normal"/>
        <w:tabs>
          <w:tab w:val="clear" w:pos="709"/>
          <w:tab w:val="left" w:pos="993" w:leader="none"/>
          <w:tab w:val="left" w:pos="5742" w:leader="none"/>
        </w:tabs>
        <w:spacing w:before="28" w:after="28"/>
        <w:ind w:hanging="0" w:start="0" w:end="-1"/>
        <w:jc w:val="both"/>
        <w:rPr/>
      </w:pPr>
      <w:r>
        <w:rPr>
          <w:rStyle w:val="Fontepargpadro"/>
          <w:rFonts w:eastAsia="Times-Roman;Times New Roman" w:cs="Verdana" w:ascii="Arial" w:hAnsi="Arial"/>
          <w:color w:val="000000"/>
          <w:sz w:val="20"/>
          <w:szCs w:val="20"/>
        </w:rPr>
        <w:t xml:space="preserve">3.1. O objeto do presente instrumento é a </w:t>
      </w:r>
      <w:r>
        <w:rPr>
          <w:rStyle w:val="Fontepargpadro"/>
          <w:rFonts w:eastAsia="Times-Roman;Times New Roman" w:cs="Arial" w:ascii="Arial" w:hAnsi="Arial"/>
          <w:color w:val="000000"/>
          <w:sz w:val="20"/>
          <w:szCs w:val="20"/>
        </w:rPr>
        <w:t xml:space="preserve">prestação dos serviços de Fornecimento e instalação de Enlaces de conectividade IP (Internet Protocol), Versões 4 e 6, entre a rede da CONTRATADA e a rede Internet Mundial, de acordo com as </w:t>
      </w:r>
      <w:r>
        <w:rPr>
          <w:rStyle w:val="Fontepargpadro"/>
          <w:rFonts w:eastAsia="Times-Roman;Times New Roman" w:cs="Verdana" w:ascii="Arial" w:hAnsi="Arial"/>
          <w:color w:val="000000"/>
          <w:sz w:val="20"/>
          <w:szCs w:val="20"/>
        </w:rPr>
        <w:t>condições estabelecidas neste contrato e no Termo de Referência do edital e na proposta do CONTRATADO.</w:t>
      </w:r>
    </w:p>
    <w:p>
      <w:pPr>
        <w:pStyle w:val="BodyText"/>
        <w:tabs>
          <w:tab w:val="clear" w:pos="709"/>
          <w:tab w:val="left" w:pos="993" w:leader="none"/>
          <w:tab w:val="left" w:pos="5742" w:leader="none"/>
        </w:tabs>
        <w:spacing w:lineRule="auto" w:line="240" w:before="28" w:after="28"/>
        <w:ind w:hanging="0" w:start="0" w:end="-1"/>
        <w:jc w:val="both"/>
        <w:rPr>
          <w:rFonts w:ascii="Arial" w:hAnsi="Arial"/>
          <w:b/>
          <w:bCs/>
          <w:color w:val="000000"/>
          <w:sz w:val="20"/>
          <w:szCs w:val="20"/>
        </w:rPr>
      </w:pPr>
      <w:r>
        <w:rPr>
          <w:rFonts w:ascii="Arial" w:hAnsi="Arial"/>
          <w:b/>
          <w:bCs/>
          <w:color w:val="000000"/>
          <w:sz w:val="20"/>
          <w:szCs w:val="20"/>
        </w:rPr>
        <w:t>CLÁUSULA QUARTA – DA VIGÊNCIA E ALTERAÇÃO</w:t>
      </w:r>
    </w:p>
    <w:p>
      <w:pPr>
        <w:pStyle w:val="Normal"/>
        <w:tabs>
          <w:tab w:val="clear" w:pos="709"/>
          <w:tab w:val="left" w:pos="993" w:leader="none"/>
          <w:tab w:val="left" w:pos="5742" w:leader="none"/>
        </w:tabs>
        <w:spacing w:before="28" w:after="28"/>
        <w:ind w:hanging="0" w:start="0" w:end="-1"/>
        <w:jc w:val="both"/>
        <w:rPr/>
      </w:pPr>
      <w:r>
        <w:rPr>
          <w:rStyle w:val="Fontepargpadro"/>
          <w:rFonts w:cs="Verdana" w:ascii="Arial" w:hAnsi="Arial"/>
          <w:color w:val="000000"/>
          <w:sz w:val="20"/>
          <w:szCs w:val="20"/>
        </w:rPr>
        <w:t>4.1.</w:t>
      </w:r>
      <w:r>
        <w:rPr>
          <w:rStyle w:val="Fontepargpadro"/>
          <w:rFonts w:ascii="Arial" w:hAnsi="Arial"/>
          <w:color w:val="000000"/>
          <w:sz w:val="20"/>
          <w:szCs w:val="20"/>
          <w:lang w:val="pt-PT"/>
        </w:rPr>
        <w:t xml:space="preserve"> O pr</w:t>
      </w:r>
      <w:r>
        <w:rPr>
          <w:rStyle w:val="Fontepargpadro"/>
          <w:rFonts w:cs="Verdana" w:ascii="Arial" w:hAnsi="Arial"/>
          <w:color w:val="000000"/>
          <w:sz w:val="20"/>
          <w:szCs w:val="20"/>
          <w:lang w:val="pt-PT"/>
        </w:rPr>
        <w:t xml:space="preserve">azo de vigência </w:t>
      </w:r>
      <w:r>
        <w:rPr>
          <w:rStyle w:val="Fontepargpadro"/>
          <w:rFonts w:ascii="Arial" w:hAnsi="Arial"/>
          <w:color w:val="000000"/>
          <w:sz w:val="20"/>
          <w:szCs w:val="20"/>
          <w:lang w:val="pt-PT"/>
        </w:rPr>
        <w:t>deste contrato é de</w:t>
      </w:r>
      <w:r>
        <w:rPr>
          <w:rStyle w:val="Fontepargpadro"/>
          <w:rFonts w:cs="Verdana" w:ascii="Arial" w:hAnsi="Arial"/>
          <w:color w:val="000000"/>
          <w:sz w:val="20"/>
          <w:szCs w:val="20"/>
          <w:lang w:val="pt-PT"/>
        </w:rPr>
        <w:t xml:space="preserve"> 12 (doze) meses, contado a partir de sua celebração</w:t>
      </w:r>
      <w:r>
        <w:rPr>
          <w:rStyle w:val="Fontepargpadro"/>
          <w:rFonts w:ascii="Arial" w:hAnsi="Arial"/>
          <w:color w:val="000000"/>
          <w:sz w:val="20"/>
          <w:szCs w:val="20"/>
        </w:rPr>
        <w:t>, observando o disposto no art. 71 da Lei Federal n° 13.303/2016.</w:t>
      </w:r>
    </w:p>
    <w:p>
      <w:pPr>
        <w:pStyle w:val="Normal"/>
        <w:tabs>
          <w:tab w:val="clear" w:pos="709"/>
          <w:tab w:val="left" w:pos="-2184" w:leader="none"/>
          <w:tab w:val="left" w:pos="1077" w:leader="none"/>
        </w:tabs>
        <w:spacing w:before="28" w:after="28"/>
        <w:ind w:hanging="0" w:start="0" w:end="-1"/>
        <w:jc w:val="both"/>
        <w:rPr/>
      </w:pPr>
      <w:r>
        <w:rPr>
          <w:rStyle w:val="Fontepargpadro"/>
          <w:rFonts w:ascii="Arial" w:hAnsi="Arial"/>
          <w:color w:val="000000"/>
          <w:sz w:val="20"/>
          <w:szCs w:val="20"/>
        </w:rPr>
        <w:t>4.2.</w:t>
      </w:r>
      <w:r>
        <w:rPr>
          <w:rStyle w:val="Fontepargpadro"/>
          <w:rFonts w:ascii="Arial" w:hAnsi="Arial"/>
          <w:color w:val="000000"/>
          <w:sz w:val="20"/>
          <w:szCs w:val="20"/>
          <w:lang w:val="pt-PT"/>
        </w:rPr>
        <w:t xml:space="preserve"> </w:t>
      </w:r>
      <w:r>
        <w:rPr>
          <w:rStyle w:val="Fontepargpadro"/>
          <w:rFonts w:ascii="Arial" w:hAnsi="Arial"/>
          <w:color w:val="000000"/>
          <w:sz w:val="20"/>
          <w:szCs w:val="20"/>
          <w:lang w:val="pt-PT" w:eastAsia="ar-SA"/>
        </w:rPr>
        <w:t>O contrato poderá ser alterado nos casos previstos nos arts. 72 e 81 da Lei Federal n° 13.303/2016 e conforme dispuser o Regulamento Interno de Licitações e Contratos do CONTRATANTE.</w:t>
      </w:r>
    </w:p>
    <w:p>
      <w:pPr>
        <w:pStyle w:val="Normal"/>
        <w:tabs>
          <w:tab w:val="clear" w:pos="709"/>
          <w:tab w:val="left" w:pos="-2184" w:leader="none"/>
          <w:tab w:val="left" w:pos="1077" w:leader="none"/>
        </w:tabs>
        <w:spacing w:before="28" w:after="28"/>
        <w:ind w:hanging="0" w:start="0" w:end="-1"/>
        <w:jc w:val="both"/>
        <w:rPr/>
      </w:pPr>
      <w:r>
        <w:rPr>
          <w:rStyle w:val="Fontepargpadro"/>
          <w:rFonts w:ascii="Arial" w:hAnsi="Arial"/>
          <w:color w:val="000000"/>
          <w:sz w:val="20"/>
          <w:szCs w:val="20"/>
          <w:lang w:val="pt-PT" w:eastAsia="ar-SA"/>
        </w:rPr>
        <w:t xml:space="preserve">4.3. </w:t>
      </w:r>
      <w:r>
        <w:rPr>
          <w:rStyle w:val="Fontepargpadro"/>
          <w:rFonts w:eastAsia="Arial" w:cs="Arial" w:ascii="Arial" w:hAnsi="Arial"/>
          <w:color w:val="000000"/>
          <w:sz w:val="20"/>
          <w:szCs w:val="20"/>
          <w:lang w:eastAsia="ar-SA"/>
        </w:rPr>
        <w:t>Registros que não caracterizam alteração do contrato podem ser realizados por simples apostila, dispensada a celebração de termo aditivo.</w:t>
      </w:r>
    </w:p>
    <w:p>
      <w:pPr>
        <w:pStyle w:val="BodyText"/>
        <w:spacing w:lineRule="auto" w:line="240" w:before="28" w:after="28"/>
        <w:ind w:hanging="0" w:start="0" w:end="-1"/>
        <w:jc w:val="both"/>
        <w:rPr/>
      </w:pPr>
      <w:r>
        <w:rPr>
          <w:rStyle w:val="Fontepargpadro"/>
          <w:rFonts w:ascii="Arial" w:hAnsi="Arial"/>
          <w:b/>
          <w:bCs/>
          <w:color w:val="000000"/>
          <w:sz w:val="20"/>
          <w:szCs w:val="20"/>
        </w:rPr>
        <w:t xml:space="preserve">CLÁUSULA QUINTA – </w:t>
      </w:r>
      <w:r>
        <w:rPr>
          <w:rStyle w:val="Fontepargpadro"/>
          <w:rFonts w:eastAsia="Arial" w:cs="Arial" w:ascii="Arial" w:hAnsi="Arial"/>
          <w:b/>
          <w:bCs/>
          <w:color w:val="000000"/>
          <w:sz w:val="20"/>
          <w:szCs w:val="20"/>
        </w:rPr>
        <w:t>DA EXECUÇÃO CONTRATUAL</w:t>
      </w:r>
    </w:p>
    <w:p>
      <w:pPr>
        <w:pStyle w:val="Normal"/>
        <w:tabs>
          <w:tab w:val="clear" w:pos="709"/>
          <w:tab w:val="left" w:pos="993" w:leader="none"/>
          <w:tab w:val="left" w:pos="5742" w:leader="none"/>
        </w:tabs>
        <w:spacing w:before="28" w:after="28"/>
        <w:ind w:hanging="0" w:start="0" w:end="-1"/>
        <w:jc w:val="both"/>
        <w:rPr/>
      </w:pPr>
      <w:r>
        <w:rPr>
          <w:rStyle w:val="Fontepargpadro"/>
          <w:rFonts w:eastAsia="Times-Roman;Times New Roman" w:ascii="Arial" w:hAnsi="Arial"/>
          <w:color w:val="000000"/>
          <w:sz w:val="20"/>
          <w:szCs w:val="20"/>
        </w:rPr>
        <w:t xml:space="preserve">5.1. </w:t>
      </w:r>
      <w:r>
        <w:rPr>
          <w:rStyle w:val="Fontepargpadro"/>
          <w:rFonts w:eastAsia="Arial" w:cs="Verdana" w:ascii="Arial" w:hAnsi="Arial"/>
          <w:color w:val="000000"/>
          <w:sz w:val="20"/>
          <w:szCs w:val="20"/>
          <w:lang w:eastAsia="ar-SA"/>
        </w:rPr>
        <w:t>O</w:t>
      </w:r>
      <w:r>
        <w:rPr>
          <w:rStyle w:val="Fontepargpadro"/>
          <w:rFonts w:eastAsia="Times-Roman;Times New Roman" w:ascii="Arial" w:hAnsi="Arial"/>
          <w:color w:val="000000"/>
          <w:sz w:val="20"/>
          <w:szCs w:val="20"/>
        </w:rPr>
        <w:t xml:space="preserve"> regime de execução indireta se dará por </w:t>
      </w:r>
      <w:r>
        <w:rPr>
          <w:rStyle w:val="Fontepargpadro"/>
          <w:rFonts w:eastAsia="Times New Roman" w:ascii="Arial" w:hAnsi="Arial"/>
          <w:color w:val="000000"/>
          <w:sz w:val="20"/>
          <w:szCs w:val="20"/>
        </w:rPr>
        <w:t>empreitada por preço unitário.</w:t>
      </w:r>
    </w:p>
    <w:p>
      <w:pPr>
        <w:pStyle w:val="BodyText"/>
        <w:tabs>
          <w:tab w:val="clear" w:pos="709"/>
          <w:tab w:val="left" w:pos="-2184" w:leader="none"/>
          <w:tab w:val="left" w:pos="1077" w:leader="none"/>
        </w:tabs>
        <w:spacing w:lineRule="auto" w:line="240" w:before="28" w:after="28"/>
        <w:ind w:hanging="0" w:start="0" w:end="-1"/>
        <w:jc w:val="both"/>
        <w:rPr/>
      </w:pPr>
      <w:r>
        <w:rPr>
          <w:rStyle w:val="Hyperlink"/>
          <w:rFonts w:eastAsia="Arial" w:ascii="Arial" w:hAnsi="Arial"/>
          <w:color w:val="000000"/>
          <w:sz w:val="20"/>
          <w:szCs w:val="20"/>
          <w:u w:val="none"/>
        </w:rPr>
        <w:t>5.2. Os prazos e condições de conclusão, entrega, recebimento do objeto, obrigações e demais condições constam no Termo de Referência, anexo a este contrato.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rPr>
        <w:t>CLÁUSULA SEXTA – DA SUBCONTRATAÇÃO</w:t>
      </w:r>
    </w:p>
    <w:p>
      <w:pPr>
        <w:pStyle w:val="BodyText"/>
        <w:tabs>
          <w:tab w:val="clear" w:pos="709"/>
          <w:tab w:val="left" w:pos="793" w:leader="none"/>
        </w:tabs>
        <w:spacing w:lineRule="auto" w:line="240" w:before="28" w:after="28"/>
        <w:ind w:hanging="0" w:start="0" w:end="-1"/>
        <w:jc w:val="both"/>
        <w:rPr/>
      </w:pPr>
      <w:r>
        <w:rPr>
          <w:rStyle w:val="Fontepargpadro"/>
          <w:rFonts w:eastAsia="Times New Roman" w:ascii="Arial" w:hAnsi="Arial"/>
          <w:color w:val="000000"/>
          <w:sz w:val="20"/>
          <w:szCs w:val="20"/>
          <w:lang w:eastAsia="ar-SA" w:bidi="ar-SA"/>
        </w:rPr>
        <w:t xml:space="preserve">6.1. </w:t>
      </w:r>
      <w:r>
        <w:rPr>
          <w:rStyle w:val="Fontepargpadro"/>
          <w:rFonts w:eastAsia="Arial" w:ascii="Arial" w:hAnsi="Arial"/>
          <w:color w:val="000000"/>
          <w:sz w:val="20"/>
          <w:szCs w:val="20"/>
          <w:lang w:eastAsia="ar-SA" w:bidi="ar-SA"/>
        </w:rPr>
        <w:t>Será admitida a subcontratação parcial do objeto contratual nos termos estabelecidos no subitem 6.1 do Termo de Referência.</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lang w:val="pt-PT"/>
        </w:rPr>
        <w:t>CLÁUSULA SÉTIMA – DO PREÇO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cs="Arial" w:ascii="Arial" w:hAnsi="Arial"/>
          <w:color w:val="000000"/>
          <w:sz w:val="20"/>
          <w:szCs w:val="20"/>
          <w:lang w:val="pt-PT"/>
        </w:rPr>
        <w:t xml:space="preserve">7.1. </w:t>
      </w:r>
      <w:r>
        <w:rPr>
          <w:rStyle w:val="Fontepargpadro"/>
          <w:rFonts w:eastAsia="Arial" w:cs="Arial" w:ascii="Arial" w:hAnsi="Arial"/>
          <w:color w:val="000000"/>
          <w:sz w:val="20"/>
          <w:szCs w:val="20"/>
          <w:lang w:val="pt-PT" w:eastAsia="en-US"/>
        </w:rPr>
        <w:t xml:space="preserve">O valor mensal da contratação do item _______ (Enlace) é de R$ ______ (_____), perfazendo o valor total de R$ ______. Para o item _________ (de instalação), </w:t>
      </w:r>
      <w:r>
        <w:rPr>
          <w:rStyle w:val="Fontepargpadro"/>
          <w:rFonts w:eastAsia="Arial" w:cs="Arial" w:ascii="Arial" w:hAnsi="Arial"/>
          <w:color w:val="000000"/>
          <w:sz w:val="20"/>
          <w:szCs w:val="20"/>
          <w:lang w:val="pt-PT"/>
        </w:rPr>
        <w:t xml:space="preserve"> o valor total da contratação é de R$ _____ (______).</w:t>
      </w:r>
    </w:p>
    <w:p>
      <w:pPr>
        <w:pStyle w:val="Nvel4-R"/>
        <w:tabs>
          <w:tab w:val="left" w:pos="5826" w:leader="none"/>
        </w:tabs>
        <w:suppressAutoHyphens w:val="true"/>
        <w:spacing w:lineRule="auto" w:line="240" w:before="28" w:after="28"/>
        <w:ind w:hanging="0" w:start="0" w:end="0"/>
        <w:jc w:val="both"/>
        <w:rPr/>
      </w:pPr>
      <w:r>
        <w:rPr>
          <w:rStyle w:val="Fontepargpadro"/>
          <w:i w:val="false"/>
          <w:iCs w:val="false"/>
          <w:color w:val="000000"/>
          <w:sz w:val="20"/>
          <w:szCs w:val="20"/>
          <w:lang w:val="pt-PT" w:eastAsia="ar-SA"/>
        </w:rPr>
        <w:t>7.1.1.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lang w:val="pt-PT"/>
        </w:rPr>
        <w:t>CLÁUSULA OITAVA – DO</w:t>
      </w:r>
      <w:r>
        <w:rPr>
          <w:rStyle w:val="Fontepargpadro"/>
          <w:rFonts w:eastAsia="Times New Roman" w:ascii="Arial" w:hAnsi="Arial"/>
          <w:b/>
          <w:bCs/>
          <w:color w:val="000000"/>
          <w:sz w:val="20"/>
          <w:szCs w:val="20"/>
          <w:lang w:val="pt-PT" w:eastAsia="ar-SA" w:bidi="ar-SA"/>
        </w:rPr>
        <w:t xml:space="preserve"> PAGAMENTO E DO RECEBIMENTO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eastAsia="ar-SA" w:bidi="ar-SA"/>
        </w:rPr>
        <w:t xml:space="preserve">8.1. O prazo para pagamento </w:t>
      </w:r>
      <w:r>
        <w:rPr>
          <w:rStyle w:val="Fontepargpadro"/>
          <w:rFonts w:eastAsia="Arial" w:ascii="Arial" w:hAnsi="Arial"/>
          <w:color w:val="000000"/>
          <w:sz w:val="20"/>
          <w:szCs w:val="20"/>
          <w:lang w:eastAsia="en-US" w:bidi="ar-SA"/>
        </w:rPr>
        <w:t>ao CONTRATADO</w:t>
      </w:r>
      <w:r>
        <w:rPr>
          <w:rStyle w:val="Fontepargpadro"/>
          <w:rFonts w:eastAsia="Arial" w:ascii="Arial" w:hAnsi="Arial"/>
          <w:color w:val="000000"/>
          <w:sz w:val="20"/>
          <w:szCs w:val="20"/>
          <w:lang w:eastAsia="ar-SA" w:bidi="ar-SA"/>
        </w:rPr>
        <w:t xml:space="preserve"> e demais condições a ele referentes, bem como, as condições de recebimento, encontram-se definidos no Termo de Referência, anexo a este instrumento de contrato.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b/>
          <w:bCs/>
          <w:color w:val="000000"/>
          <w:sz w:val="20"/>
          <w:szCs w:val="20"/>
          <w:lang w:val="pt-PT"/>
        </w:rPr>
        <w:t>CLÁUSULA NONA – DO REAJUSTE</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cs="Arial" w:ascii="Arial" w:hAnsi="Arial"/>
          <w:color w:val="000000"/>
          <w:sz w:val="20"/>
          <w:szCs w:val="20"/>
          <w:lang w:val="pt-PT"/>
        </w:rPr>
        <w:t xml:space="preserve">9.1. </w:t>
      </w:r>
      <w:r>
        <w:rPr>
          <w:rStyle w:val="Fontepargpadro"/>
          <w:rFonts w:eastAsia="Arial" w:cs="Arial" w:ascii="Arial" w:hAnsi="Arial"/>
          <w:color w:val="000000"/>
          <w:sz w:val="20"/>
          <w:szCs w:val="20"/>
        </w:rPr>
        <w:t xml:space="preserve">Os preços inicialmente contratados são fixos e irreajustáveis no prazo de um ano contado da data </w:t>
      </w:r>
      <w:r>
        <w:rPr>
          <w:rStyle w:val="Fontepargpadro"/>
          <w:rFonts w:eastAsia="Arial" w:cs="Arial" w:ascii="Arial" w:hAnsi="Arial"/>
          <w:color w:val="000000"/>
          <w:sz w:val="20"/>
          <w:szCs w:val="20"/>
          <w:lang w:val="pt-PT"/>
        </w:rPr>
        <w:t xml:space="preserve">do orçamento estimado, ou seja, a data da pesquisa constante no Mapa Comparativo de Preços, datado de </w:t>
      </w:r>
      <w:r>
        <w:rPr>
          <w:rStyle w:val="Fontepargpadro"/>
          <w:rFonts w:eastAsia="Arial" w:cs="Arial" w:ascii="Arial" w:hAnsi="Arial"/>
          <w:color w:val="000000"/>
          <w:sz w:val="20"/>
          <w:szCs w:val="20"/>
          <w:lang w:val="pt-PT"/>
        </w:rPr>
        <w:t>29</w:t>
      </w:r>
      <w:r>
        <w:rPr>
          <w:rStyle w:val="Fontepargpadro"/>
          <w:rFonts w:eastAsia="Arial" w:cs="Arial" w:ascii="Arial" w:hAnsi="Arial"/>
          <w:color w:val="000000"/>
          <w:sz w:val="20"/>
          <w:szCs w:val="20"/>
          <w:lang w:val="pt-PT"/>
        </w:rPr>
        <w:t>/</w:t>
      </w:r>
      <w:r>
        <w:rPr>
          <w:rStyle w:val="Fontepargpadro"/>
          <w:rFonts w:eastAsia="Arial" w:cs="Arial" w:ascii="Arial" w:hAnsi="Arial"/>
          <w:color w:val="000000"/>
          <w:sz w:val="20"/>
          <w:szCs w:val="20"/>
          <w:lang w:val="pt-PT"/>
        </w:rPr>
        <w:t>08</w:t>
      </w:r>
      <w:r>
        <w:rPr>
          <w:rStyle w:val="Fontepargpadro"/>
          <w:rFonts w:eastAsia="Arial" w:cs="Arial" w:ascii="Arial" w:hAnsi="Arial"/>
          <w:color w:val="000000"/>
          <w:sz w:val="20"/>
          <w:szCs w:val="20"/>
          <w:lang w:val="pt-PT"/>
        </w:rPr>
        <w:t>/</w:t>
      </w:r>
      <w:r>
        <w:rPr>
          <w:rStyle w:val="Fontepargpadro"/>
          <w:rFonts w:eastAsia="Arial" w:cs="Arial" w:ascii="Arial" w:hAnsi="Arial"/>
          <w:color w:val="000000"/>
          <w:sz w:val="20"/>
          <w:szCs w:val="20"/>
          <w:lang w:val="pt-PT"/>
        </w:rPr>
        <w:t>2025</w:t>
      </w:r>
      <w:r>
        <w:rPr>
          <w:rStyle w:val="Fontepargpadro"/>
          <w:rFonts w:eastAsia="Arial" w:cs="Arial" w:ascii="Arial" w:hAnsi="Arial"/>
          <w:color w:val="000000"/>
          <w:sz w:val="20"/>
          <w:szCs w:val="20"/>
          <w:lang w:val="pt-PT"/>
        </w:rPr>
        <w:t>.</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cs="Arial" w:ascii="Arial" w:hAnsi="Arial"/>
          <w:color w:val="000000"/>
          <w:sz w:val="20"/>
          <w:szCs w:val="20"/>
          <w:lang w:val="pt-PT"/>
        </w:rPr>
        <w:t>9.2. Após o interregno de um ano, e independentemente de pedido do CONTRATADO, os preços iniciais serão reajustados, mediante a aplicação, pelo CONTRATANTE, do índice IPCA</w:t>
      </w:r>
      <w:r>
        <w:rPr>
          <w:rStyle w:val="Fontepargpadro"/>
          <w:rFonts w:eastAsia="Arial" w:cs="Arial" w:ascii="Arial" w:hAnsi="Arial"/>
          <w:i/>
          <w:iCs/>
          <w:color w:val="000000"/>
          <w:sz w:val="20"/>
          <w:szCs w:val="20"/>
          <w:lang w:val="pt-PT"/>
        </w:rPr>
        <w:t>,</w:t>
      </w:r>
      <w:r>
        <w:rPr>
          <w:rStyle w:val="Fontepargpadro"/>
          <w:rFonts w:eastAsia="Arial" w:cs="Arial" w:ascii="Arial" w:hAnsi="Arial"/>
          <w:color w:val="000000"/>
          <w:sz w:val="20"/>
          <w:szCs w:val="20"/>
          <w:lang w:val="pt-PT"/>
        </w:rPr>
        <w:t xml:space="preserve"> exclusivamente para as obrigações iniciadas e concluídas após a ocorrência da anualidade.</w:t>
      </w:r>
    </w:p>
    <w:p>
      <w:pPr>
        <w:pStyle w:val="Normal"/>
        <w:widowControl/>
        <w:tabs>
          <w:tab w:val="clear" w:pos="709"/>
          <w:tab w:val="left" w:pos="-2184" w:leader="none"/>
          <w:tab w:val="left" w:pos="1077" w:leader="none"/>
        </w:tabs>
        <w:autoSpaceDE w:val="true"/>
        <w:spacing w:lineRule="auto" w:line="240" w:before="57" w:after="57"/>
        <w:ind w:hanging="0" w:start="0" w:end="0"/>
        <w:jc w:val="both"/>
        <w:rPr/>
      </w:pPr>
      <w:r>
        <w:rPr>
          <w:rStyle w:val="Fontepargpadro"/>
          <w:rFonts w:eastAsia="Arial" w:cs="Arial" w:ascii="ArialMT" w:hAnsi="ArialMT"/>
          <w:b w:val="false"/>
          <w:bCs w:val="false"/>
          <w:i w:val="false"/>
          <w:iCs w:val="false"/>
          <w:color w:val="000000"/>
          <w:sz w:val="20"/>
          <w:szCs w:val="20"/>
          <w:u w:val="none"/>
          <w:shd w:fill="auto" w:val="clear"/>
          <w:lang w:val="pt-BR"/>
        </w:rPr>
        <w:t>9.</w:t>
      </w:r>
      <w:r>
        <w:rPr>
          <w:rStyle w:val="Fontepargpadro"/>
          <w:rFonts w:eastAsia="Arial" w:cs="Arial" w:ascii="ArialMT" w:hAnsi="ArialMT"/>
          <w:b w:val="false"/>
          <w:bCs w:val="false"/>
          <w:i w:val="false"/>
          <w:iCs w:val="false"/>
          <w:color w:val="000000"/>
          <w:sz w:val="20"/>
          <w:szCs w:val="20"/>
          <w:u w:val="none"/>
          <w:shd w:fill="auto" w:val="clear"/>
          <w:lang w:val="pt-BR"/>
        </w:rPr>
        <w:t>2</w:t>
      </w:r>
      <w:r>
        <w:rPr>
          <w:rStyle w:val="Fontepargpadro"/>
          <w:rFonts w:eastAsia="Arial" w:cs="Arial" w:ascii="ArialMT" w:hAnsi="ArialMT"/>
          <w:b w:val="false"/>
          <w:bCs w:val="false"/>
          <w:i w:val="false"/>
          <w:iCs w:val="false"/>
          <w:color w:val="000000"/>
          <w:sz w:val="20"/>
          <w:szCs w:val="20"/>
          <w:u w:val="none"/>
          <w:shd w:fill="auto" w:val="clear"/>
          <w:lang w:val="pt-BR"/>
        </w:rPr>
        <w:t>.</w:t>
      </w:r>
      <w:r>
        <w:rPr>
          <w:rStyle w:val="Fontepargpadro"/>
          <w:rFonts w:eastAsia="Arial" w:cs="Arial" w:ascii="ArialMT" w:hAnsi="ArialMT"/>
          <w:b w:val="false"/>
          <w:bCs w:val="false"/>
          <w:i w:val="false"/>
          <w:iCs w:val="false"/>
          <w:color w:val="000000"/>
          <w:sz w:val="20"/>
          <w:szCs w:val="20"/>
          <w:u w:val="none"/>
          <w:shd w:fill="auto" w:val="clear"/>
          <w:lang w:val="pt-BR"/>
        </w:rPr>
        <w:t>1.</w:t>
      </w:r>
      <w:r>
        <w:rPr>
          <w:rStyle w:val="Fontepargpadro"/>
          <w:rFonts w:eastAsia="Arial" w:cs="Arial" w:ascii="ArialMT" w:hAnsi="ArialMT"/>
          <w:b w:val="false"/>
          <w:bCs w:val="false"/>
          <w:i w:val="false"/>
          <w:iCs w:val="false"/>
          <w:color w:val="000000"/>
          <w:sz w:val="20"/>
          <w:szCs w:val="20"/>
          <w:u w:val="none"/>
          <w:shd w:fill="auto" w:val="clear"/>
          <w:lang w:val="pt-BR"/>
        </w:rPr>
        <w:t xml:space="preserve"> Os reajustes deverão ser precedidos de solicitação da CONTRATADA.</w:t>
      </w:r>
    </w:p>
    <w:p>
      <w:pPr>
        <w:pStyle w:val="Normal"/>
        <w:jc w:val="both"/>
        <w:rPr>
          <w:rFonts w:ascii="ArialMT" w:hAnsi="ArialMT"/>
          <w:color w:val="000000"/>
          <w:sz w:val="20"/>
          <w:szCs w:val="20"/>
          <w:shd w:fill="auto" w:val="clear"/>
        </w:rPr>
      </w:pPr>
      <w:r>
        <w:rPr>
          <w:rFonts w:ascii="ArialMT" w:hAnsi="ArialMT"/>
          <w:color w:val="000000"/>
          <w:sz w:val="20"/>
          <w:szCs w:val="20"/>
          <w:shd w:fill="auto" w:val="clear"/>
        </w:rPr>
        <w:t xml:space="preserve">9.2.1.1. Caso a CONTRATADA não solicite tempestivamente o reajuste e prorrogue o contrato sem pleiteá-lo, ocorrerá a preclusão </w:t>
      </w:r>
      <w:r>
        <w:rPr>
          <w:rFonts w:ascii="ArialMT" w:hAnsi="ArialMT"/>
          <w:color w:val="000000"/>
          <w:sz w:val="20"/>
          <w:szCs w:val="20"/>
          <w:shd w:fill="auto" w:val="clear"/>
        </w:rPr>
        <w:t xml:space="preserve">lógica </w:t>
      </w:r>
      <w:r>
        <w:rPr>
          <w:rFonts w:ascii="ArialMT" w:hAnsi="ArialMT"/>
          <w:color w:val="000000"/>
          <w:sz w:val="20"/>
          <w:szCs w:val="20"/>
          <w:shd w:fill="auto" w:val="clear"/>
        </w:rPr>
        <w:t>do direito.</w:t>
      </w:r>
    </w:p>
    <w:p>
      <w:pPr>
        <w:pStyle w:val="Normal"/>
        <w:jc w:val="both"/>
        <w:rPr/>
      </w:pPr>
      <w:r>
        <w:rPr>
          <w:rStyle w:val="Fontepargpadro"/>
          <w:rFonts w:eastAsia="Arial" w:cs="Arial" w:ascii="ArialMT" w:hAnsi="ArialMT"/>
          <w:b w:val="false"/>
          <w:bCs w:val="false"/>
          <w:i w:val="false"/>
          <w:iCs w:val="false"/>
          <w:color w:val="000000"/>
          <w:sz w:val="20"/>
          <w:szCs w:val="20"/>
          <w:u w:val="none"/>
          <w:shd w:fill="auto" w:val="clear"/>
          <w:lang w:val="pt-BR"/>
        </w:rPr>
        <w:t xml:space="preserve">9.2.1.2. Também ocorrerá a preclusão </w:t>
      </w:r>
      <w:r>
        <w:rPr>
          <w:rStyle w:val="Fontepargpadro"/>
          <w:rFonts w:eastAsia="Arial" w:cs="Arial" w:ascii="ArialMT" w:hAnsi="ArialMT"/>
          <w:b w:val="false"/>
          <w:bCs w:val="false"/>
          <w:i w:val="false"/>
          <w:iCs w:val="false"/>
          <w:color w:val="000000"/>
          <w:sz w:val="20"/>
          <w:szCs w:val="20"/>
          <w:u w:val="none"/>
          <w:shd w:fill="auto" w:val="clear"/>
          <w:lang w:val="pt-BR"/>
        </w:rPr>
        <w:t xml:space="preserve">lógica </w:t>
      </w:r>
      <w:r>
        <w:rPr>
          <w:rStyle w:val="Fontepargpadro"/>
          <w:rFonts w:eastAsia="Arial" w:cs="Arial" w:ascii="ArialMT" w:hAnsi="ArialMT"/>
          <w:b w:val="false"/>
          <w:bCs w:val="false"/>
          <w:i w:val="false"/>
          <w:iCs w:val="false"/>
          <w:color w:val="000000"/>
          <w:sz w:val="20"/>
          <w:szCs w:val="20"/>
          <w:u w:val="none"/>
          <w:shd w:fill="auto" w:val="clear"/>
          <w:lang w:val="pt-BR"/>
        </w:rPr>
        <w:t>do direito ao reajuste se o pedido for formulado depois de extinto o contrato.</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lang w:val="pt-PT"/>
        </w:rPr>
        <w:t>9.3. Nos reajustes subsequentes ao primeiro, o interregno mínimo de um ano será contado a partir dos efeitos financeiros do último reajuste.</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lang w:val="pt-PT"/>
        </w:rPr>
        <w:t>9.4. No caso de atraso ou não divulgação do(s) índice (s) de reajustamento, o CONTRATANTE pagará ao CONTRATADO a importância calculada pela última variação conhecida, liquidando a diferença correspondente tão logo seja(m) divulgado(s) o(s) índice(s) definitivo(s).</w:t>
      </w:r>
    </w:p>
    <w:p>
      <w:pPr>
        <w:pStyle w:val="Nvel2-Red"/>
        <w:tabs>
          <w:tab w:val="clear" w:pos="709"/>
          <w:tab w:val="left" w:pos="-2184" w:leader="none"/>
          <w:tab w:val="left" w:pos="1077" w:leader="none"/>
        </w:tabs>
        <w:spacing w:lineRule="auto" w:line="240" w:before="28" w:after="28"/>
        <w:ind w:hanging="0" w:start="0" w:end="-1"/>
        <w:jc w:val="both"/>
        <w:rPr/>
      </w:pPr>
      <w:r>
        <w:rPr>
          <w:rStyle w:val="Fontepargpadro"/>
          <w:i w:val="false"/>
          <w:iCs w:val="false"/>
          <w:color w:val="000000"/>
          <w:sz w:val="20"/>
          <w:szCs w:val="20"/>
          <w:lang w:val="pt-PT"/>
        </w:rPr>
        <w:t>9.5. Caso o(s) índice(s) estabelecido(s) para reajustamento venha(m) a ser extinto(s) ou de qualquer forma não possa(m) mais ser utilizado(s), será(ão) adotado(s), em substituição, o(s) que vier(em) a ser determinado(s) pela legislação então em vigor.</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val="pt-PT" w:eastAsia="ar-SA"/>
        </w:rPr>
        <w:t>9.6. Na ausência de previsão legal quanto ao índice substituto, as partes elegerão novo índice oficial, para reajustamento do preço do valor remanescente, por meio de termo aditivo.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eastAsia="Arial" w:ascii="Arial" w:hAnsi="Arial"/>
          <w:color w:val="000000"/>
          <w:sz w:val="20"/>
          <w:szCs w:val="20"/>
          <w:lang w:val="pt-PT" w:eastAsia="ar-SA"/>
        </w:rPr>
        <w:t>9.7. O reajuste será realizado por apostilamento.</w:t>
      </w:r>
    </w:p>
    <w:p>
      <w:pPr>
        <w:pStyle w:val="BodyText"/>
        <w:tabs>
          <w:tab w:val="clear" w:pos="709"/>
          <w:tab w:val="left" w:pos="-2184" w:leader="none"/>
          <w:tab w:val="left" w:pos="1077" w:leader="none"/>
        </w:tabs>
        <w:spacing w:lineRule="auto" w:line="240" w:before="28" w:after="28"/>
        <w:ind w:hanging="0" w:start="0" w:end="-1"/>
        <w:jc w:val="both"/>
        <w:rPr/>
      </w:pPr>
      <w:r>
        <w:rPr>
          <w:rStyle w:val="Fontepargpadro"/>
          <w:rFonts w:ascii="Arial" w:hAnsi="Arial"/>
          <w:b/>
          <w:bCs/>
          <w:color w:val="000000"/>
          <w:sz w:val="20"/>
          <w:szCs w:val="20"/>
        </w:rPr>
        <w:t xml:space="preserve">CLÁUSULA DÉCIMA – DAS </w:t>
      </w:r>
      <w:r>
        <w:rPr>
          <w:rStyle w:val="Fontepargpadro"/>
          <w:rFonts w:eastAsia="Arial" w:cs="Arial" w:ascii="Arial" w:hAnsi="Arial"/>
          <w:b/>
          <w:bCs/>
          <w:color w:val="000000"/>
          <w:sz w:val="20"/>
          <w:szCs w:val="20"/>
          <w:lang w:val="pt-PT"/>
        </w:rPr>
        <w:t>OBRIGAÇÕES DO CONTRATANTE E DO CONTRATADO</w:t>
      </w:r>
    </w:p>
    <w:p>
      <w:pPr>
        <w:pStyle w:val="BodyText"/>
        <w:tabs>
          <w:tab w:val="clear" w:pos="709"/>
          <w:tab w:val="left" w:pos="993" w:leader="none"/>
          <w:tab w:val="left" w:pos="5742" w:leader="none"/>
        </w:tabs>
        <w:snapToGrid w:val="false"/>
        <w:spacing w:lineRule="auto" w:line="240" w:before="28" w:after="28"/>
        <w:ind w:hanging="0" w:start="0" w:end="-1"/>
        <w:jc w:val="both"/>
        <w:rPr/>
      </w:pPr>
      <w:r>
        <w:rPr>
          <w:rStyle w:val="Fontepargpadro"/>
          <w:rFonts w:eastAsia="Times New Roman" w:ascii="Arial" w:hAnsi="Arial"/>
          <w:color w:val="000000"/>
          <w:sz w:val="20"/>
          <w:szCs w:val="20"/>
        </w:rPr>
        <w:t>10.1.</w:t>
      </w:r>
      <w:r>
        <w:rPr>
          <w:rStyle w:val="Fontepargpadro"/>
          <w:rFonts w:eastAsia="Arial" w:ascii="Arial" w:hAnsi="Arial"/>
          <w:color w:val="000000"/>
          <w:sz w:val="20"/>
          <w:szCs w:val="20"/>
          <w:lang w:val="pt-PT"/>
        </w:rPr>
        <w:t xml:space="preserve"> As obrigações referentes ao CONTRATANTE e ao CONTRATADO encontram-se, respectivamente, definidas no Termo de Referência, parte integrante deste instrumento.</w:t>
      </w:r>
    </w:p>
    <w:p>
      <w:pPr>
        <w:pStyle w:val="BodyText"/>
        <w:spacing w:lineRule="auto" w:line="240" w:before="28" w:after="28"/>
        <w:ind w:hanging="0" w:start="0" w:end="-1"/>
        <w:jc w:val="both"/>
        <w:rPr/>
      </w:pPr>
      <w:r>
        <w:rPr>
          <w:rStyle w:val="Fontepargpadro"/>
          <w:rFonts w:eastAsia="Arial" w:cs="Arial" w:ascii="Arial" w:hAnsi="Arial"/>
          <w:b/>
          <w:bCs/>
          <w:color w:val="000000"/>
          <w:sz w:val="20"/>
          <w:szCs w:val="20"/>
          <w:lang w:val="pt-PT"/>
        </w:rPr>
        <w:t>CLÁUSULA DÉCIMA PRIMEIRA – DAS OBRIGAÇÕES PERTINENTES À LEI GERAL DE PROTEÇÃO DE DADOS PESSOAIS (LGPD)</w:t>
      </w:r>
    </w:p>
    <w:p>
      <w:pPr>
        <w:pStyle w:val="Nvel2-Red"/>
        <w:spacing w:lineRule="auto" w:line="240" w:before="28" w:after="28"/>
        <w:ind w:hanging="0" w:start="0" w:end="-1"/>
        <w:jc w:val="both"/>
        <w:rPr/>
      </w:pPr>
      <w:r>
        <w:rPr>
          <w:rStyle w:val="Fontepargpadro"/>
          <w:i w:val="false"/>
          <w:iCs w:val="false"/>
          <w:color w:val="000000"/>
          <w:sz w:val="20"/>
          <w:szCs w:val="20"/>
        </w:rPr>
        <w:t>11.1. O CONTRATADO declara que tem ciência da existência da LGPD e se compromete a adequar todos os procedimentos internos ao disposto na legislação, com o intuito de proteger os dados pessoais que lhe forem repassados, cumprindo, a todo momento, as normas de proteção de dados pessoais, jamais colocando, por seus atos ou por sua omissão, o CONTRATANTE em situação de violação de tais regras.</w:t>
      </w:r>
    </w:p>
    <w:p>
      <w:pPr>
        <w:pStyle w:val="Nvel2-Red"/>
        <w:spacing w:lineRule="auto" w:line="240" w:before="28" w:after="28"/>
        <w:ind w:hanging="0" w:start="0" w:end="-1"/>
        <w:jc w:val="both"/>
        <w:rPr/>
      </w:pPr>
      <w:r>
        <w:rPr>
          <w:rStyle w:val="Fontepargpadro"/>
          <w:i w:val="false"/>
          <w:iCs w:val="false"/>
          <w:color w:val="000000"/>
          <w:sz w:val="20"/>
          <w:szCs w:val="20"/>
        </w:rPr>
        <w:t>11.1.1. O CONTRATADO somente poderá tratar dados pessoais nos limites e finalidades exclusivas do cumprimento de suas obrigações com base no presente contrato e jamais poderá realizar o tratamento para fins distintos do fornecimento dos bens especificados no certame ou no contrato administrativo.</w:t>
      </w:r>
    </w:p>
    <w:p>
      <w:pPr>
        <w:pStyle w:val="Nvel2-Red"/>
        <w:spacing w:lineRule="auto" w:line="240" w:before="28" w:after="28"/>
        <w:ind w:hanging="0" w:start="0" w:end="-1"/>
        <w:jc w:val="both"/>
        <w:rPr/>
      </w:pPr>
      <w:r>
        <w:rPr>
          <w:rStyle w:val="Fontepargpadro"/>
          <w:i w:val="false"/>
          <w:iCs w:val="false"/>
          <w:color w:val="000000"/>
          <w:sz w:val="20"/>
          <w:szCs w:val="20"/>
        </w:rPr>
        <w:t>11.2. O tratamento de dados pessoais será realizado de acordo com as hipóteses de tratamento previstas nos artigos 7º, 11, 14, 23, 24 e 26 da LGPD e somente para propósitos legítimos, específicos, explícitos e informados ao titular, observando a persecução do interesse público e os princípios do art.</w:t>
      </w:r>
      <w:hyperlink r:id="rId17" w:anchor="art6" w:tgtFrame="_top">
        <w:r>
          <w:rPr>
            <w:rStyle w:val="Hyperlink"/>
            <w:color w:val="000000"/>
            <w:sz w:val="20"/>
            <w:szCs w:val="20"/>
            <w:lang w:val="pt-PT" w:bidi="ar-SA"/>
          </w:rPr>
          <w:t xml:space="preserve"> 6º</w:t>
        </w:r>
      </w:hyperlink>
      <w:r>
        <w:rPr>
          <w:rStyle w:val="Fontepargpadro"/>
          <w:i w:val="false"/>
          <w:iCs w:val="false"/>
          <w:color w:val="000000"/>
          <w:sz w:val="20"/>
          <w:szCs w:val="20"/>
        </w:rPr>
        <w:t xml:space="preserve"> da LGPD e 37 da Constituição Federal de 1988.</w:t>
      </w:r>
    </w:p>
    <w:p>
      <w:pPr>
        <w:pStyle w:val="Nvel2-Red"/>
        <w:spacing w:lineRule="auto" w:line="240" w:before="28" w:after="28"/>
        <w:ind w:hanging="0" w:start="0" w:end="-1"/>
        <w:jc w:val="both"/>
        <w:rPr/>
      </w:pPr>
      <w:r>
        <w:rPr>
          <w:rStyle w:val="Fontepargpadro"/>
          <w:i w:val="false"/>
          <w:iCs w:val="false"/>
          <w:color w:val="000000"/>
          <w:sz w:val="20"/>
          <w:szCs w:val="20"/>
        </w:rPr>
        <w:t>11.3. O CONTRATADO deverá indicar, no prazo máximo de 5 ( cinco) dias úteis da publicação do Aditivo, a identidade e informações de contato do seu Encarregado de Proteção de Dados, bem como, se aplicável, o endereço da página eletrônica onde essa designação é realizada, conforme estabelecido no § 1º do art. 41 da LGPD e se compromete a manter o CONTRATANTE informado sobre os dados atualizados de contato de seu Encarregado de Tratamento de Dados Pessoais, sempre que for substituído, independentemente das alterações em sua página eletrônica.</w:t>
      </w:r>
    </w:p>
    <w:p>
      <w:pPr>
        <w:pStyle w:val="Nvel2-Red"/>
        <w:spacing w:lineRule="auto" w:line="240" w:before="28" w:after="28"/>
        <w:ind w:hanging="0" w:start="0" w:end="-1"/>
        <w:jc w:val="both"/>
        <w:rPr/>
      </w:pPr>
      <w:r>
        <w:rPr>
          <w:rStyle w:val="Fontepargpadro"/>
          <w:i w:val="false"/>
          <w:iCs w:val="false"/>
          <w:color w:val="000000"/>
          <w:sz w:val="20"/>
          <w:szCs w:val="20"/>
        </w:rPr>
        <w:t>11.4. O CONTRATADO deverá cooperar com a Administração Direta e Indireta do Estado do Ceará no cumprimento das obrigações referentes ao exercício dos direitos dos Titulares previstos na LGPD e nas Leis e Regulamentos de Proteção de Dados em vigor e também no atendimento de requisições e determinações do Poder Judiciário, Ministério Público e Órgãos de Controle, quando relacionados ao objeto contratual.</w:t>
      </w:r>
    </w:p>
    <w:p>
      <w:pPr>
        <w:pStyle w:val="Nvel2-Red"/>
        <w:spacing w:lineRule="auto" w:line="240" w:before="28" w:after="28"/>
        <w:ind w:hanging="0" w:start="0" w:end="-1"/>
        <w:jc w:val="both"/>
        <w:rPr/>
      </w:pPr>
      <w:r>
        <w:rPr>
          <w:rStyle w:val="Fontepargpadro"/>
          <w:i w:val="false"/>
          <w:iCs w:val="false"/>
          <w:color w:val="000000"/>
          <w:sz w:val="20"/>
          <w:szCs w:val="20"/>
        </w:rPr>
        <w:t>11.5. O</w:t>
      </w:r>
      <w:r>
        <w:rPr>
          <w:rStyle w:val="Fontepargpadro"/>
          <w:i w:val="false"/>
          <w:iCs w:val="false"/>
          <w:color w:val="000000"/>
          <w:sz w:val="20"/>
          <w:szCs w:val="20"/>
          <w:lang w:val="pt-PT"/>
        </w:rPr>
        <w:t xml:space="preserve"> CONTRATADO não poderá disponibilizar ou transmitir a terceiros, sem prévia autorização por escrito, informação, dados pessoais ou base de dados a que tenha acesso em razão do cumprimento do objeto deste instrumento contratual.</w:t>
      </w:r>
    </w:p>
    <w:p>
      <w:pPr>
        <w:pStyle w:val="Nvel2-Red"/>
        <w:spacing w:lineRule="auto" w:line="240" w:before="28" w:after="28"/>
        <w:ind w:hanging="0" w:start="0" w:end="-1"/>
        <w:jc w:val="both"/>
        <w:rPr/>
      </w:pPr>
      <w:r>
        <w:rPr>
          <w:rStyle w:val="Fontepargpadro"/>
          <w:i w:val="false"/>
          <w:iCs w:val="false"/>
          <w:color w:val="000000"/>
          <w:sz w:val="20"/>
          <w:szCs w:val="20"/>
          <w:lang w:val="pt-PT"/>
        </w:rPr>
        <w:t>11.5.1. Caso autorizada transmissão de dados pelo CONTRATADO a terceiros, as informações fornecidas e/ou compartilhadas devem se limitar ao estritamente necessário para o fiel desempenho da execução do instrumento contratual, adotando procedimentos de segurança que assegurem a sua confidencialidade, integridade e disponibilidade dos dados.</w:t>
      </w:r>
    </w:p>
    <w:p>
      <w:pPr>
        <w:pStyle w:val="Nvel2-Red"/>
        <w:spacing w:lineRule="auto" w:line="240" w:before="28" w:after="28"/>
        <w:ind w:hanging="0" w:start="0" w:end="-1"/>
        <w:jc w:val="both"/>
        <w:rPr/>
      </w:pPr>
      <w:r>
        <w:rPr>
          <w:rStyle w:val="Fontepargpadro"/>
          <w:i w:val="false"/>
          <w:iCs w:val="false"/>
          <w:color w:val="000000"/>
          <w:sz w:val="20"/>
          <w:szCs w:val="20"/>
          <w:lang w:val="pt-PT"/>
        </w:rPr>
        <w:t>11.5.2.  As PARTES se obrigam a zelar pelo sigilo dos dados, garantindo que apenas as pessoas que efetivamente precisam acessá-los o façam, submetendo-as, em todo caso, ao dever de confidencialidade.</w:t>
      </w:r>
    </w:p>
    <w:p>
      <w:pPr>
        <w:pStyle w:val="Nvel2-Red"/>
        <w:spacing w:lineRule="auto" w:line="240" w:before="28" w:after="28"/>
        <w:ind w:hanging="0" w:start="0" w:end="-1"/>
        <w:jc w:val="both"/>
        <w:rPr/>
      </w:pPr>
      <w:r>
        <w:rPr>
          <w:rStyle w:val="Fontepargpadro"/>
          <w:i w:val="false"/>
          <w:iCs w:val="false"/>
          <w:color w:val="000000"/>
          <w:sz w:val="20"/>
          <w:szCs w:val="20"/>
        </w:rPr>
        <w:t>11.6. Ocorrendo o término do tratamento dos dados nos termos do</w:t>
      </w:r>
      <w:hyperlink r:id="rId18" w:anchor="art15" w:tgtFrame="_top">
        <w:r>
          <w:rPr>
            <w:rStyle w:val="Hyperlink"/>
            <w:i w:val="false"/>
            <w:iCs w:val="false"/>
            <w:color w:val="000000"/>
            <w:sz w:val="20"/>
            <w:szCs w:val="20"/>
            <w:lang w:val="pt-PT" w:bidi="ar-SA"/>
          </w:rPr>
          <w:t xml:space="preserve"> art. 15 da LGPD </w:t>
        </w:r>
      </w:hyperlink>
      <w:r>
        <w:rPr>
          <w:rStyle w:val="Fontepargpadro"/>
          <w:i w:val="false"/>
          <w:iCs w:val="false"/>
          <w:color w:val="000000"/>
          <w:sz w:val="20"/>
          <w:szCs w:val="20"/>
        </w:rPr>
        <w:t>é dever do CONTRATADO eliminá-los, com exceção das hipóteses do</w:t>
      </w:r>
      <w:hyperlink r:id="rId19" w:anchor="art16" w:tgtFrame="_top">
        <w:r>
          <w:rPr>
            <w:rStyle w:val="Hyperlink"/>
            <w:i w:val="false"/>
            <w:iCs w:val="false"/>
            <w:color w:val="000000"/>
            <w:sz w:val="20"/>
            <w:szCs w:val="20"/>
            <w:lang w:val="pt-PT" w:bidi="ar-SA"/>
          </w:rPr>
          <w:t xml:space="preserve"> art. 16 da m</w:t>
        </w:r>
      </w:hyperlink>
      <w:r>
        <w:rPr>
          <w:rStyle w:val="Fontepargpadro"/>
          <w:i w:val="false"/>
          <w:iCs w:val="false"/>
          <w:color w:val="000000"/>
          <w:sz w:val="20"/>
          <w:szCs w:val="20"/>
        </w:rPr>
        <w:t>esma lei, incluindo aquelas em que houver necessidade de guarda de documentação para fins de comprovação do cumprimento de obrigações legais ou contratuais e somente enquanto não prescritas essas obrigações.</w:t>
      </w:r>
    </w:p>
    <w:p>
      <w:pPr>
        <w:pStyle w:val="Nvel2-Red"/>
        <w:spacing w:lineRule="auto" w:line="240" w:before="28" w:after="28"/>
        <w:ind w:hanging="0" w:start="0" w:end="-1"/>
        <w:jc w:val="both"/>
        <w:rPr/>
      </w:pPr>
      <w:r>
        <w:rPr>
          <w:rStyle w:val="Fontepargpadro"/>
          <w:i w:val="false"/>
          <w:iCs w:val="false"/>
          <w:color w:val="000000"/>
          <w:sz w:val="20"/>
          <w:szCs w:val="20"/>
        </w:rPr>
        <w:t>11.6.1. O CONTRATADO não poderá deter cópias ou backups, informações, dados pessoais e/ou base de dados a que tenha tido acesso durante a execução do cumprimento do objeto deste instrumento contratual.</w:t>
      </w:r>
    </w:p>
    <w:p>
      <w:pPr>
        <w:pStyle w:val="Nvel2-Red"/>
        <w:spacing w:lineRule="auto" w:line="240" w:before="28" w:after="28"/>
        <w:ind w:hanging="0" w:start="0" w:end="-1"/>
        <w:jc w:val="both"/>
        <w:rPr/>
      </w:pPr>
      <w:r>
        <w:rPr>
          <w:rStyle w:val="Fontepargpadro"/>
          <w:i w:val="false"/>
          <w:iCs w:val="false"/>
          <w:color w:val="000000"/>
          <w:sz w:val="20"/>
          <w:szCs w:val="20"/>
        </w:rPr>
        <w:t>11.6.2. O CONTRATADO deverá eliminar os dados pessoais a que tiver conhecimento ou posse em razão do cumprimento do objeto deste instrumento contratual tão logo não haja necessidade de seu tratamento.</w:t>
      </w:r>
    </w:p>
    <w:p>
      <w:pPr>
        <w:pStyle w:val="Nvel2-Red"/>
        <w:spacing w:lineRule="auto" w:line="240" w:before="28" w:after="28"/>
        <w:ind w:hanging="0" w:start="0" w:end="-1"/>
        <w:jc w:val="both"/>
        <w:rPr/>
      </w:pPr>
      <w:r>
        <w:rPr>
          <w:rStyle w:val="Fontepargpadro"/>
          <w:i w:val="false"/>
          <w:iCs w:val="false"/>
          <w:color w:val="000000"/>
          <w:sz w:val="20"/>
          <w:szCs w:val="20"/>
        </w:rPr>
        <w:t>11.6.3. O CONTRATADO fica obrigado a devolver todos os documentos, registros e cópias que contenham informação, dados pessoais, e/ou base de dados a que tenha tido acesso durante a execução do cumprimento do objeto deste instrumento contratual, no prazo de 30 (trinta) dias corridos, contados da data de qualquer uma das hipóteses de extinção do contrato, restando autorizada a conservação apenas nas hipóteses legalmente previstas.</w:t>
      </w:r>
    </w:p>
    <w:p>
      <w:pPr>
        <w:pStyle w:val="Nvel2-Red"/>
        <w:spacing w:lineRule="auto" w:line="240" w:before="28" w:after="28"/>
        <w:ind w:hanging="0" w:start="0" w:end="-1"/>
        <w:jc w:val="both"/>
        <w:rPr/>
      </w:pPr>
      <w:r>
        <w:rPr>
          <w:rStyle w:val="Fontepargpadro"/>
          <w:i w:val="false"/>
          <w:iCs w:val="false"/>
          <w:color w:val="000000"/>
          <w:sz w:val="20"/>
          <w:szCs w:val="20"/>
        </w:rPr>
        <w:t xml:space="preserve">11.7. </w:t>
      </w:r>
      <w:r>
        <w:rPr>
          <w:rStyle w:val="Fontepargpadro"/>
          <w:i w:val="false"/>
          <w:iCs w:val="false"/>
          <w:color w:val="000000"/>
          <w:sz w:val="20"/>
          <w:szCs w:val="20"/>
          <w:lang w:val="pt-PT"/>
        </w:rPr>
        <w:t>Caso as PARTES necessitem subcontratar atividades relacionadas ao certame/contrato em que haja tratamento dos dados, deverão exigir a vinculação do SUBCONTRATADO (suboperador) aos critérios definidos neste instrumento, fazendo-o assinar um termo de adesão ao presente contrato.</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rPr>
        <w:t>11.7.1. O</w:t>
      </w:r>
      <w:r>
        <w:rPr>
          <w:rStyle w:val="Fontepargpadro"/>
          <w:i w:val="false"/>
          <w:iCs w:val="false"/>
          <w:color w:val="000000"/>
          <w:sz w:val="20"/>
          <w:szCs w:val="20"/>
          <w:lang w:val="pt-PT"/>
        </w:rPr>
        <w:t xml:space="preserve"> CONTRATANTE deverá ser informado no prazo de 5 (cinco) dias úteis sobre todos os contratos de subcontratação (suboperadores) firmados ou que venham a ser celebrados pelo CONTRATADO.</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lang w:val="pt-PT"/>
        </w:rPr>
        <w:t>11.7.2. Em caso de subcontratação, o CONTRATADO e o SUBCONTRATADO responderão em regime de solidariedade por eventuais danos causados aos titulares, o CONTRATANTE e a terceiros, em virtude de qualquer conduta comissiva ou omissiva inerente ao tratamento dos dados.</w:t>
      </w:r>
    </w:p>
    <w:p>
      <w:pPr>
        <w:pStyle w:val="Nvel2-Red"/>
        <w:tabs>
          <w:tab w:val="clear" w:pos="709"/>
          <w:tab w:val="left" w:pos="113" w:leader="none"/>
        </w:tabs>
        <w:spacing w:lineRule="auto" w:line="240" w:before="28" w:after="28"/>
        <w:ind w:hanging="0" w:start="0" w:end="-1"/>
        <w:jc w:val="both"/>
        <w:rPr/>
      </w:pPr>
      <w:r>
        <w:rPr>
          <w:rStyle w:val="Fontepargpadro"/>
          <w:i w:val="false"/>
          <w:iCs w:val="false"/>
          <w:color w:val="000000"/>
          <w:sz w:val="20"/>
          <w:szCs w:val="20"/>
          <w:lang w:val="pt-PT"/>
        </w:rPr>
        <w:t>11.7.3. O CONTRATADO deverá assegurar que o subcontratado oferecerá o mesmo nível de segurança dos dados, produzindo e guardando evidências disso;</w:t>
      </w:r>
    </w:p>
    <w:p>
      <w:pPr>
        <w:pStyle w:val="Nvel3-R"/>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11.8. As PARTES devem adotar boas práticas de governança e medidas técnicas e administrativas em relação ao tratamento dos dados, compatíveis com a estrutura, a escala e o volume de suas operações, bem como a sensibilidade dos dados tratados.</w:t>
      </w:r>
    </w:p>
    <w:p>
      <w:pPr>
        <w:pStyle w:val="Nvel2-Red"/>
        <w:spacing w:lineRule="auto" w:line="240" w:before="28" w:after="28"/>
        <w:ind w:hanging="0" w:start="0" w:end="-1"/>
        <w:jc w:val="both"/>
        <w:rPr/>
      </w:pPr>
      <w:r>
        <w:rPr>
          <w:rStyle w:val="Fontepargpadro"/>
          <w:i w:val="false"/>
          <w:iCs w:val="false"/>
          <w:color w:val="000000"/>
          <w:sz w:val="20"/>
          <w:szCs w:val="20"/>
        </w:rPr>
        <w:t>11.8.1. É dever do CONTRATADO orientar e treinar seus empregados sobre os deveres, requisitos e responsabilidades decorrentes da LGPD, inclusive dará conhecimento formal aos seus empregados das obrigações e condições acordadas nesta cláusula.</w:t>
      </w:r>
    </w:p>
    <w:p>
      <w:pPr>
        <w:pStyle w:val="Nvel2-Red"/>
        <w:spacing w:lineRule="auto" w:line="240" w:before="28" w:after="28"/>
        <w:ind w:hanging="0" w:start="0" w:end="-1"/>
        <w:jc w:val="both"/>
        <w:rPr/>
      </w:pPr>
      <w:r>
        <w:rPr>
          <w:rStyle w:val="Fontepargpadro"/>
          <w:i w:val="false"/>
          <w:iCs w:val="false"/>
          <w:color w:val="000000"/>
          <w:sz w:val="20"/>
          <w:szCs w:val="20"/>
        </w:rPr>
        <w:t>11.8.2. O CONTRATADO se responsabilizará por assegurar que todos os seus colaboradores, consultores, e/ou prestadores de serviços que, no exercício das suas atividades, tenham acesso e/ou conhecimento da informação e/ou dos dados pessoais, agirão de acordo com o presente contrato,  com as leis de proteção de dados e que estes respeitem o dever de proteção, confidencialidade e sigilo, devendo estes assumir compromisso formal de preservar a confidencialidade e segurança de tais dados, documento que estar disponível em caráter permanente para exibição do CONTRATANTE, mediante solicitação.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11.8.3. O CONTRATADO deverá promover a revogação de todos os privilégios de acesso aos sistemas, informações e recursos do CONTRATANTE, em caso de desligamento de funcionário das atividades inerentes à execução do presente Contrato.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11.9. Em caso de incidente de segurança em relação aos dados tratados neste certame/contrato, que comprometa a confidencialidade, a integridade e a disponibilidade dos dados, a PARTE que sofreu o incidente deverá comunicar imediatamente a ocorrência a partir de uma notificação que conterá, no mínimo: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a) Data e hora do incidente;</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b) Data e hora da ciência pela PARTE responsável;</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c) Descrição dos dados pessoais afetados;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d) Número de titulares afetados;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e) Relação dos titulares envolvidos;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f) Riscos relacionados ao incidente;</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g) Indicação das medidas técnicas e de segurança, utilizadas para a proteção dos dados;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h) Motivos da demora, no caso de a comunicação não haver sido imediata;</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i) Medidas que foram ou que serão adotadas para reverter ou mitigar os efeitos do prejuízo;</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j) O contato do Encarregado de Proteção de Dados ou de outra pessoa junto a qual seja possível obter maiores informações sobre o ocorrido;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11.9.1. Na hipótese descrita acima, as PARTES atuarão em regime de cooperação para:</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a) Definir e implementar as medidas necessárias para fazer cessar o incidente e minimizar seus impactos;</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b) Prover as informações necessárias à apuração do ocorrido no menor prazo possível;</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c) Definir o padrão de respostas a serem dadas aos titulares, terceiros, à ANPD e demais autoridades competentes.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11.10. Os dados obtidos em razão deste contrato serão armazenados em um banco de dados seguro, com garantia de registro das transações realizadas na aplicação de acesso (log), adequado controle baseado em função (</w:t>
      </w:r>
      <w:r>
        <w:rPr>
          <w:rStyle w:val="Fontepargpadro"/>
          <w:color w:val="000000"/>
          <w:sz w:val="20"/>
          <w:szCs w:val="20"/>
        </w:rPr>
        <w:t>role based access control</w:t>
      </w:r>
      <w:r>
        <w:rPr>
          <w:rStyle w:val="Fontepargpadro"/>
          <w:i w:val="false"/>
          <w:iCs w:val="false"/>
          <w:color w:val="000000"/>
          <w:sz w:val="20"/>
          <w:szCs w:val="20"/>
        </w:rPr>
        <w:t>) e com transparente identificação do perfil dos credenciados, tudo estabelecido como forma de garantir inclusive a rastreabilidade de cada transação e a franca apuração, a qualquer momento, de desvios e falhas, vedado o compartilhamento dessas informações com terceiros;</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11.11. A critério do CONTRATANTE, o CONTRATADO poderá ser provocado a colaborar na elaboração do Relatório de Impacto à Proteção de Dados Pessoais, conforme a sensibilidade e o risco inerente dos bens e/ou serviços objeto deste contrato, no tocante a dados pessoais.</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rPr>
        <w:t>11.12. O CONTRATADO indenizará o CONTRATANTE, em razão do não cumprimento por parte da CONTRATADA das obrigações previstas nas leis, normas, regulamentos e recomendações das autoridades de proteção de dados com relação ao presente contrato, de quaisquer danos, prejuízos, custos e despesas, incluindo-se honorários advocatícios, multas, penalidades e eventuais dispêndios investigativos relativos a demandas administrativas ou judiciais propostas em face do CONTRATANTE a esse título.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11.13. Em caso de responsabilização do Estado por danos e/ou violações à LGPD decorrentes do objeto do contrato, deverá ser apurado os danos que efetivamente cada uma das partes causarem ao titular dos dados, para fins de assegurar o direito de regresso do Estado nos termos da legislação.</w:t>
      </w:r>
    </w:p>
    <w:p>
      <w:pPr>
        <w:pStyle w:val="Nvel2-Red"/>
        <w:tabs>
          <w:tab w:val="clear" w:pos="709"/>
          <w:tab w:val="left" w:pos="993" w:leader="none"/>
          <w:tab w:val="left" w:pos="5742" w:leader="none"/>
        </w:tabs>
        <w:spacing w:lineRule="auto" w:line="240" w:before="28" w:after="28"/>
        <w:ind w:hanging="0" w:start="0" w:end="-1"/>
        <w:jc w:val="both"/>
        <w:rPr>
          <w:rFonts w:ascii="Arial" w:hAnsi="Arial"/>
          <w:i w:val="false"/>
          <w:i w:val="false"/>
          <w:iCs w:val="false"/>
          <w:color w:val="000000"/>
          <w:sz w:val="20"/>
          <w:szCs w:val="20"/>
        </w:rPr>
      </w:pPr>
      <w:r>
        <w:rPr>
          <w:i w:val="false"/>
          <w:iCs w:val="false"/>
          <w:color w:val="000000"/>
          <w:sz w:val="20"/>
          <w:szCs w:val="20"/>
        </w:rPr>
        <w:t>11.13.1. O CONTRATANTE poderá realizar diligência para aferir o cumprimento dessa cláusula, devendo o Contratado atender prontamente eventuais pedidos de comprovação formulados.</w:t>
      </w:r>
    </w:p>
    <w:p>
      <w:pPr>
        <w:pStyle w:val="Nvel2-Red"/>
        <w:spacing w:lineRule="auto" w:line="240" w:before="28" w:after="28"/>
        <w:ind w:hanging="0" w:start="0" w:end="-1"/>
        <w:jc w:val="both"/>
        <w:rPr/>
      </w:pPr>
      <w:r>
        <w:rPr>
          <w:rStyle w:val="Fontepargpadro"/>
          <w:i w:val="false"/>
          <w:iCs w:val="false"/>
          <w:color w:val="000000"/>
          <w:sz w:val="20"/>
          <w:szCs w:val="20"/>
        </w:rPr>
        <w:t>11.14. Os contratos e convênios de que trata o</w:t>
      </w:r>
      <w:r>
        <w:rPr>
          <w:rStyle w:val="Style7"/>
          <w:i w:val="false"/>
          <w:iCs w:val="false"/>
          <w:color w:val="000000"/>
          <w:sz w:val="20"/>
          <w:szCs w:val="20"/>
        </w:rPr>
        <w:t xml:space="preserve"> § 1º do art. 26 da Lei nº 13.709</w:t>
      </w:r>
      <w:r>
        <w:rPr>
          <w:rStyle w:val="Fontepargpadro"/>
          <w:i w:val="false"/>
          <w:iCs w:val="false"/>
          <w:color w:val="000000"/>
          <w:sz w:val="20"/>
          <w:szCs w:val="20"/>
        </w:rPr>
        <w:t>/2018 deverão ser comunicados à ANPD.</w:t>
      </w:r>
    </w:p>
    <w:p>
      <w:pPr>
        <w:pStyle w:val="Nvel2-Red"/>
        <w:tabs>
          <w:tab w:val="clear" w:pos="709"/>
          <w:tab w:val="left" w:pos="993" w:leader="none"/>
          <w:tab w:val="left" w:pos="5742" w:leader="none"/>
        </w:tabs>
        <w:spacing w:lineRule="auto" w:line="240" w:before="28" w:after="28"/>
        <w:ind w:hanging="0" w:start="0" w:end="-1"/>
        <w:jc w:val="both"/>
        <w:rPr/>
      </w:pPr>
      <w:r>
        <w:rPr>
          <w:rStyle w:val="Fontepargpadro"/>
          <w:i w:val="false"/>
          <w:iCs w:val="false"/>
          <w:color w:val="000000"/>
          <w:sz w:val="20"/>
          <w:szCs w:val="20"/>
          <w:lang w:val="pt-PT"/>
        </w:rPr>
        <w:t>11.15. Este instrumento pode ser alterado nos procedimentos pertinentes ao tratamento de dados pessoais, quando indicado pela autoridade competente, em especial a ANPD por meio de opiniões técnicas ou recomendações, editadas na forma da LGPD.</w:t>
      </w:r>
    </w:p>
    <w:p>
      <w:pPr>
        <w:pStyle w:val="BodyText"/>
        <w:tabs>
          <w:tab w:val="clear" w:pos="709"/>
          <w:tab w:val="left" w:pos="993" w:leader="none"/>
          <w:tab w:val="left" w:pos="5742" w:leader="none"/>
        </w:tabs>
        <w:spacing w:lineRule="auto" w:line="240" w:before="28" w:after="28"/>
        <w:ind w:hanging="0" w:start="0" w:end="-1"/>
        <w:jc w:val="both"/>
        <w:rPr/>
      </w:pPr>
      <w:r>
        <w:rPr>
          <w:rStyle w:val="Fontepargpadro"/>
          <w:rFonts w:eastAsia="Arial" w:cs="Arial" w:ascii="Arial" w:hAnsi="Arial"/>
          <w:b/>
          <w:bCs/>
          <w:color w:val="000000"/>
          <w:sz w:val="20"/>
          <w:szCs w:val="20"/>
          <w:lang w:val="pt-PT"/>
        </w:rPr>
        <w:t>CLÁUSULA DÉCIMA SEGUNDA – DA GARANTIA DE EXECUÇÃO</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12.1. </w:t>
      </w:r>
      <w:r>
        <w:rPr>
          <w:rStyle w:val="Fontepargpadro"/>
          <w:rFonts w:eastAsia="Arial" w:cs="Arial" w:ascii="Arial" w:hAnsi="Arial"/>
          <w:b w:val="false"/>
          <w:bCs w:val="false"/>
          <w:i w:val="false"/>
          <w:iCs w:val="false"/>
          <w:color w:val="000000"/>
          <w:sz w:val="20"/>
          <w:szCs w:val="20"/>
          <w:u w:val="none"/>
          <w:shd w:fill="auto" w:val="clear"/>
          <w:lang w:val="pt-BR" w:eastAsia="ar-SA" w:bidi="ar-SA"/>
        </w:rPr>
        <w:t>A</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 xml:space="preserve"> garantia contratual </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obedecerá a</w:t>
      </w:r>
      <w:r>
        <w:rPr>
          <w:rStyle w:val="Fontepargpadro"/>
          <w:rFonts w:eastAsia="Times New Roman" w:cs="Arial" w:ascii="Arial" w:hAnsi="Arial"/>
          <w:b w:val="false"/>
          <w:bCs w:val="false"/>
          <w:i w:val="false"/>
          <w:iCs w:val="false"/>
          <w:strike w:val="false"/>
          <w:dstrike w:val="false"/>
          <w:color w:val="000000"/>
          <w:sz w:val="20"/>
          <w:szCs w:val="20"/>
          <w:u w:val="none"/>
          <w:shd w:fill="FFFFFF" w:val="clear"/>
          <w:lang w:val="pt-BR" w:eastAsia="ar-SA" w:bidi="ar-SA"/>
        </w:rPr>
        <w:t>os</w:t>
      </w:r>
      <w:r>
        <w:rPr>
          <w:rStyle w:val="Fontepargpadro"/>
          <w:rFonts w:eastAsia="Times New Roman" w:cs="Arial" w:ascii="Arial" w:hAnsi="Arial"/>
          <w:color w:val="000000"/>
          <w:sz w:val="20"/>
          <w:szCs w:val="20"/>
          <w:shd w:fill="FFFFFF" w:val="clear"/>
          <w:lang w:eastAsia="ar-SA" w:bidi="ar-SA"/>
        </w:rPr>
        <w:t xml:space="preserve"> termos e prazos estabelecidos n</w:t>
      </w:r>
      <w:r>
        <w:rPr>
          <w:rStyle w:val="Fontepargpadro"/>
          <w:rFonts w:eastAsia="Times New Roman" w:cs="Times New Roman" w:ascii="Arial" w:hAnsi="Arial"/>
          <w:color w:val="000000"/>
          <w:sz w:val="20"/>
          <w:szCs w:val="20"/>
          <w:shd w:fill="FFFFFF" w:val="clear"/>
          <w:lang w:eastAsia="ar-SA" w:bidi="ar-SA"/>
        </w:rPr>
        <w:t>o subite</w:t>
      </w:r>
      <w:r>
        <w:rPr>
          <w:rStyle w:val="Fontepargpadro"/>
          <w:rFonts w:eastAsia="Times New Roman" w:cs="Times New Roman" w:ascii="Arial" w:hAnsi="Arial"/>
          <w:color w:val="000000"/>
          <w:sz w:val="20"/>
          <w:szCs w:val="20"/>
          <w:lang w:eastAsia="ar-SA" w:bidi="ar-SA"/>
        </w:rPr>
        <w:t>m 6.2 do</w:t>
      </w:r>
      <w:r>
        <w:rPr>
          <w:rStyle w:val="Fontepargpadro"/>
          <w:rFonts w:eastAsia="Times New Roman" w:cs="Times New Roman" w:ascii="Arial" w:hAnsi="Arial"/>
          <w:color w:val="000000"/>
          <w:sz w:val="20"/>
          <w:szCs w:val="20"/>
          <w:shd w:fill="FFFFFF" w:val="clear"/>
          <w:lang w:eastAsia="ar-SA" w:bidi="ar-SA"/>
        </w:rPr>
        <w:t xml:space="preserve"> Termo de Referência. </w:t>
      </w:r>
      <w:r>
        <w:rPr>
          <w:rStyle w:val="Fontepargpadro1"/>
          <w:rFonts w:eastAsia="Times New Roman" w:cs="Arial" w:ascii="Arial" w:hAnsi="Arial"/>
          <w:color w:val="000000"/>
          <w:sz w:val="20"/>
          <w:szCs w:val="20"/>
          <w:shd w:fill="FFFFFF" w:val="clear"/>
          <w:lang w:eastAsia="ar-SA" w:bidi="ar-SA"/>
        </w:rPr>
        <w:t>A não prestação de garantia equivale à recusa injustificada para a contratação, caracterizando descumprimento total da obrigação assumida, ficando a adjudicatária sujeita às penalidades legalmente estabelecidas, inclusive multa.</w:t>
      </w:r>
    </w:p>
    <w:p>
      <w:pPr>
        <w:pStyle w:val="BodyText"/>
        <w:tabs>
          <w:tab w:val="clear" w:pos="709"/>
          <w:tab w:val="left" w:pos="993" w:leader="none"/>
          <w:tab w:val="left" w:pos="5742" w:leader="none"/>
        </w:tabs>
        <w:spacing w:lineRule="auto" w:line="240" w:before="28" w:after="28"/>
        <w:ind w:hanging="0" w:start="0" w:end="-1"/>
        <w:jc w:val="both"/>
        <w:rPr>
          <w:rFonts w:ascii="Arial" w:hAnsi="Arial"/>
          <w:b/>
          <w:bCs/>
          <w:color w:val="000000"/>
          <w:sz w:val="20"/>
          <w:szCs w:val="20"/>
        </w:rPr>
      </w:pPr>
      <w:r>
        <w:rPr>
          <w:rFonts w:ascii="Arial" w:hAnsi="Arial"/>
          <w:b/>
          <w:bCs/>
          <w:color w:val="000000"/>
          <w:sz w:val="20"/>
          <w:szCs w:val="20"/>
        </w:rPr>
        <w:t>CLÁUSULA DÉCIMA TERCEIRA – DAS INFRAÇÕES E SANÇÕES ADMINISTRATIVAS</w:t>
      </w:r>
    </w:p>
    <w:p>
      <w:pPr>
        <w:pStyle w:val="BodyText"/>
        <w:spacing w:lineRule="auto" w:line="240" w:before="28" w:after="28"/>
        <w:ind w:hanging="0" w:start="0" w:end="-1"/>
        <w:jc w:val="both"/>
        <w:rPr/>
      </w:pPr>
      <w:r>
        <w:rPr>
          <w:rStyle w:val="Fontepargpadro"/>
          <w:rFonts w:ascii="Arial" w:hAnsi="Arial"/>
          <w:color w:val="000000"/>
          <w:sz w:val="20"/>
          <w:szCs w:val="20"/>
        </w:rPr>
        <w:t>13.1. Pela inexecução total ou parcial do contrato a empresa pública ou a sociedade de economia mista poderá, garantida a prévia defesa, aplicar ao CONTRATADO as seguintes sanções:</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 - advertência;</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II - multa, na forma a seguir:</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a. Moratória </w:t>
      </w:r>
      <w:r>
        <w:rPr>
          <w:rStyle w:val="Fontepargpadro"/>
          <w:rFonts w:ascii="Arial" w:hAnsi="Arial"/>
          <w:color w:val="000000"/>
          <w:sz w:val="20"/>
          <w:szCs w:val="20"/>
        </w:rPr>
        <w:t xml:space="preserve">de </w:t>
      </w:r>
      <w:r>
        <w:rPr>
          <w:rStyle w:val="Tipodeletrapredefinidodopargrafo1"/>
          <w:rFonts w:cs="Calibri" w:ascii="Arial" w:hAnsi="Arial"/>
          <w:color w:val="000000"/>
          <w:sz w:val="20"/>
          <w:szCs w:val="20"/>
        </w:rPr>
        <w:t>0,2% (dois décimos por cento) por dia de atraso injustificado sobre o valor da parcela inadimplida, até o limite de 25 (vinte e cinco) dias.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b. Moratória de </w:t>
      </w:r>
      <w:r>
        <w:rPr>
          <w:rStyle w:val="Tipodeletrapredefinidodopargrafo1"/>
          <w:rFonts w:eastAsia="Arial" w:cs="Calibri" w:ascii="Arial" w:hAnsi="Arial"/>
          <w:color w:val="000000"/>
          <w:sz w:val="20"/>
          <w:szCs w:val="20"/>
        </w:rPr>
        <w:t>0,07% (sete centésimos por cento) por dia de atraso injustificado sobre o valor total do contrato, até o máximo de 2% (dois por cento) pela inobservância do prazo fixado para apresentação, suplementação ou reposição da garantia</w:t>
      </w:r>
      <w:r>
        <w:rPr>
          <w:rStyle w:val="Fontepargpadro"/>
          <w:rFonts w:eastAsia="Arial" w:cs="Arial" w:ascii="Arial" w:hAnsi="Arial"/>
          <w:color w:val="000000"/>
          <w:sz w:val="20"/>
          <w:szCs w:val="20"/>
        </w:rPr>
        <w:t>.</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c. O atraso superior a 30 (trinta) dias autoriza a Administração a promover a extinção do contrato por descumprimento ou cumprimento irregular de suas cláusulas.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d. Compensatória de 20% (vinte por cento) sobre o valor total do CONTRATADO, no caso de inexecução total do objeto.</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III - suspensão temporária de participação em licitação e impedimento de contratar com a entidade sancionadora, por prazo não superior a 2 (dois) anos.</w:t>
      </w:r>
    </w:p>
    <w:p>
      <w:pPr>
        <w:pStyle w:val="BodyText"/>
        <w:spacing w:lineRule="auto" w:line="240" w:before="28" w:after="28"/>
        <w:ind w:hanging="0" w:start="0" w:end="-1"/>
        <w:jc w:val="both"/>
        <w:rPr/>
      </w:pPr>
      <w:r>
        <w:rPr>
          <w:rStyle w:val="Fontepargpadro"/>
          <w:rFonts w:ascii="Arial" w:hAnsi="Arial"/>
          <w:color w:val="000000"/>
          <w:sz w:val="20"/>
          <w:szCs w:val="20"/>
        </w:rPr>
        <w:t xml:space="preserve">13.2. Se a multa aplicada for superior ao valor da garantia prestada, além da perda desta, responderá o </w:t>
      </w:r>
      <w:r>
        <w:rPr>
          <w:rStyle w:val="Fontepargpadro"/>
          <w:rFonts w:eastAsia="Arial" w:cs="Arial" w:ascii="Arial" w:hAnsi="Arial"/>
          <w:color w:val="000000"/>
          <w:sz w:val="20"/>
          <w:szCs w:val="20"/>
        </w:rPr>
        <w:t>CONTRATADO</w:t>
      </w:r>
      <w:r>
        <w:rPr>
          <w:rStyle w:val="Fontepargpadro"/>
          <w:rFonts w:ascii="Arial" w:hAnsi="Arial"/>
          <w:color w:val="000000"/>
          <w:sz w:val="20"/>
          <w:szCs w:val="20"/>
        </w:rPr>
        <w:t xml:space="preserve"> pela sua diferença, que será descontada dos pagamentos eventualmente devidos pela empresa pública ou pela sociedade de economia mista ou cobrada judicialmente.</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13.3. As sanções previstas nos incisos I e III do subitem 13.1 poderão ser aplicadas juntamente a do inciso II, devendo a defesa prévia do interessado, no respectivo processo, ser apresentada no prazo de 10 (dez) dias úteis.</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13.4. As sanções previstas no inciso III subitem 13.1 poderão também ser aplicadas às empresas ou aos profissionais que, em razão dos contratos regidos por esta Lei:</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 - tenham sofrido condenação definitiva por praticarem, por meios dolosos, fraude fiscal no recolhimento de quaisquer tributos;</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II - tenham praticado atos ilícitos visando a frustrar os objetivos da licitação;</w:t>
      </w:r>
    </w:p>
    <w:p>
      <w:pPr>
        <w:pStyle w:val="BodyText"/>
        <w:spacing w:lineRule="auto" w:line="240" w:before="28" w:after="28"/>
        <w:ind w:hanging="0" w:start="0" w:end="-1"/>
        <w:jc w:val="both"/>
        <w:rPr>
          <w:rFonts w:ascii="Arial" w:hAnsi="Arial"/>
          <w:color w:val="000000"/>
          <w:sz w:val="20"/>
          <w:szCs w:val="20"/>
        </w:rPr>
      </w:pPr>
      <w:r>
        <w:rPr>
          <w:rFonts w:ascii="Arial" w:hAnsi="Arial"/>
          <w:color w:val="000000"/>
          <w:sz w:val="20"/>
          <w:szCs w:val="20"/>
        </w:rPr>
        <w:t>III - demonstrem não possuir idoneidade para contratar com a empresa pública ou a sociedade de economia mista em virtude de atos ilícitos praticados.</w:t>
      </w:r>
    </w:p>
    <w:p>
      <w:pPr>
        <w:pStyle w:val="BodyText"/>
        <w:spacing w:lineRule="auto" w:line="240" w:before="28" w:after="28"/>
        <w:ind w:hanging="0" w:start="0" w:end="-1"/>
        <w:jc w:val="both"/>
        <w:rPr/>
      </w:pPr>
      <w:r>
        <w:rPr>
          <w:rStyle w:val="Fontepargpadro"/>
          <w:rFonts w:ascii="Arial" w:hAnsi="Arial"/>
          <w:color w:val="000000"/>
          <w:sz w:val="20"/>
          <w:szCs w:val="20"/>
        </w:rPr>
        <w:t xml:space="preserve">13.5. Na impossibilidade do pagamento da multa por meio de descontos dos créditos existentes </w:t>
      </w:r>
      <w:r>
        <w:rPr>
          <w:rStyle w:val="Fontepargpadro1"/>
          <w:rFonts w:ascii="Arial" w:hAnsi="Arial"/>
          <w:color w:val="000000"/>
          <w:sz w:val="20"/>
          <w:szCs w:val="20"/>
        </w:rPr>
        <w:t>ou da garantia contratual,</w:t>
      </w:r>
      <w:r>
        <w:rPr>
          <w:rStyle w:val="Fontepargpadro"/>
          <w:rFonts w:ascii="Arial" w:hAnsi="Arial"/>
          <w:color w:val="000000"/>
          <w:sz w:val="20"/>
          <w:szCs w:val="20"/>
        </w:rPr>
        <w:t xml:space="preserve"> o CONTRATADO recolherá a multa </w:t>
      </w:r>
      <w:r>
        <w:rPr>
          <w:rStyle w:val="Fontepargpadro"/>
          <w:rFonts w:eastAsia="Liberation Serif" w:cs="Arial" w:ascii="Arial" w:hAnsi="Arial"/>
          <w:color w:val="000000"/>
          <w:sz w:val="20"/>
          <w:szCs w:val="20"/>
        </w:rPr>
        <w:t>por meio de depósito bancário  podendo ser substituído por outro instrumento legal, em nome do contratante, se não o fizer, será cobrada em processo de execução.</w:t>
      </w:r>
    </w:p>
    <w:p>
      <w:pPr>
        <w:pStyle w:val="BodyText"/>
        <w:spacing w:lineRule="auto" w:line="240" w:before="28" w:after="28"/>
        <w:ind w:hanging="0" w:start="0" w:end="-1"/>
        <w:jc w:val="both"/>
        <w:rPr/>
      </w:pPr>
      <w:r>
        <w:rPr>
          <w:rStyle w:val="Fontepargpadro"/>
          <w:rFonts w:ascii="Arial" w:hAnsi="Arial"/>
          <w:b/>
          <w:bCs/>
          <w:color w:val="000000"/>
          <w:sz w:val="20"/>
          <w:szCs w:val="20"/>
        </w:rPr>
        <w:t>CLÁUSULA DÉCIMA QUARTA – DA EXTINÇÃO CONTRATUAL</w:t>
      </w:r>
    </w:p>
    <w:p>
      <w:pPr>
        <w:pStyle w:val="Nvel2-Red"/>
        <w:spacing w:lineRule="auto" w:line="240" w:before="28" w:after="28"/>
        <w:ind w:hanging="0" w:start="0" w:end="-1"/>
        <w:jc w:val="both"/>
        <w:rPr/>
      </w:pPr>
      <w:r>
        <w:rPr>
          <w:rStyle w:val="Fontepargpadro"/>
          <w:i w:val="false"/>
          <w:iCs w:val="false"/>
          <w:color w:val="000000"/>
          <w:sz w:val="20"/>
          <w:szCs w:val="20"/>
          <w:lang w:eastAsia="ar-SA"/>
        </w:rPr>
        <w:t xml:space="preserve">14.1. </w:t>
      </w:r>
      <w:r>
        <w:rPr>
          <w:rStyle w:val="Fontepargpadro"/>
          <w:rFonts w:eastAsia="Times New Roman"/>
          <w:i w:val="false"/>
          <w:iCs w:val="false"/>
          <w:color w:val="000000"/>
          <w:sz w:val="20"/>
          <w:szCs w:val="20"/>
          <w:shd w:fill="FFFFFF" w:val="clear"/>
          <w:lang w:eastAsia="ar-SA"/>
        </w:rPr>
        <w:t>Este contrato poderá ser extinto nas hipóteses de inadimplemento contratual, acordo entre as partes, ou conforme dispuser regulamento interno do CONTRATANTE.</w:t>
      </w:r>
    </w:p>
    <w:p>
      <w:pPr>
        <w:pStyle w:val="Nivel2"/>
        <w:spacing w:lineRule="auto" w:line="240" w:before="28" w:after="28"/>
        <w:ind w:hanging="0" w:start="0" w:end="-1"/>
        <w:jc w:val="both"/>
        <w:rPr/>
      </w:pPr>
      <w:r>
        <w:rPr>
          <w:rStyle w:val="Fontepargpadro"/>
          <w:color w:val="000000"/>
          <w:sz w:val="20"/>
          <w:szCs w:val="20"/>
        </w:rPr>
        <w:t xml:space="preserve">14.2. Este contrato poderá ser </w:t>
      </w:r>
      <w:r>
        <w:rPr>
          <w:rStyle w:val="Fontepargpadro"/>
          <w:rFonts w:eastAsia="Times New Roman"/>
          <w:color w:val="000000"/>
          <w:sz w:val="20"/>
          <w:szCs w:val="20"/>
          <w:shd w:fill="FFFFFF" w:val="clear"/>
          <w:lang w:eastAsia="ar-SA"/>
        </w:rPr>
        <w:t>extinto</w:t>
      </w:r>
      <w:r>
        <w:rPr>
          <w:rStyle w:val="Fontepargpadro"/>
          <w:color w:val="000000"/>
          <w:sz w:val="20"/>
          <w:szCs w:val="20"/>
        </w:rPr>
        <w:t xml:space="preserve"> a qualquer tempo pelo CONTRATANTE, mediante aviso prévio de no mínimo 30 (trinta) dias, nos casos das rescisões decorrentes de razões de interesse</w:t>
      </w:r>
      <w:r>
        <w:rPr>
          <w:rStyle w:val="Fontepargpadro"/>
          <w:color w:val="000000"/>
          <w:sz w:val="20"/>
          <w:szCs w:val="20"/>
          <w:shd w:fill="00FFFF" w:val="clear"/>
        </w:rPr>
        <w:t xml:space="preserve"> </w:t>
      </w:r>
      <w:r>
        <w:rPr>
          <w:rStyle w:val="Fontepargpadro"/>
          <w:color w:val="000000"/>
          <w:sz w:val="20"/>
          <w:szCs w:val="20"/>
        </w:rPr>
        <w:t>público, justificadas pela autoridade máxima da CONTRATANTE, sem que caiba ao CONTRATADO, direito à indenização de qualquer espécie.</w:t>
      </w:r>
    </w:p>
    <w:p>
      <w:pPr>
        <w:pStyle w:val="BodyText"/>
        <w:spacing w:lineRule="auto" w:line="240" w:before="28" w:after="28"/>
        <w:ind w:hanging="0" w:start="0" w:end="-1"/>
        <w:jc w:val="both"/>
        <w:rPr/>
      </w:pPr>
      <w:r>
        <w:rPr>
          <w:rStyle w:val="Fontepargpadro"/>
          <w:rFonts w:eastAsia="Arial" w:cs="Arial" w:ascii="Arial" w:hAnsi="Arial"/>
          <w:b/>
          <w:bCs/>
          <w:color w:val="000000"/>
          <w:sz w:val="20"/>
          <w:szCs w:val="20"/>
        </w:rPr>
        <w:t>CLÁUSULA DÉCIMA QUINTA – DOS RECURSOS ORÇAMENTÁRIOS</w:t>
      </w:r>
    </w:p>
    <w:p>
      <w:pPr>
        <w:pStyle w:val="BodyText"/>
        <w:spacing w:lineRule="auto" w:line="240" w:before="28" w:after="28"/>
        <w:ind w:hanging="0" w:start="0" w:end="-1"/>
        <w:jc w:val="both"/>
        <w:rPr/>
      </w:pPr>
      <w:r>
        <w:rPr>
          <w:rStyle w:val="Fontepargpadro"/>
          <w:rFonts w:eastAsia="Arial" w:cs="Arial" w:ascii="Arial" w:hAnsi="Arial"/>
          <w:color w:val="000000"/>
          <w:sz w:val="20"/>
          <w:szCs w:val="20"/>
        </w:rPr>
        <w:t xml:space="preserve">15.1. </w:t>
      </w:r>
      <w:r>
        <w:rPr>
          <w:rStyle w:val="Fontepargpadro"/>
          <w:rFonts w:eastAsia="Times-Roman;Times New Roman" w:cs="Verdana" w:ascii="Arial" w:hAnsi="Arial"/>
          <w:color w:val="000000"/>
          <w:sz w:val="20"/>
          <w:szCs w:val="20"/>
        </w:rPr>
        <w:t>As despesas decorrentes da contratação serão provenientes dos recursos  ____________.</w:t>
      </w:r>
    </w:p>
    <w:p>
      <w:pPr>
        <w:pStyle w:val="Nivel2"/>
        <w:spacing w:lineRule="auto" w:line="240" w:before="28" w:after="28"/>
        <w:ind w:hanging="0" w:start="0" w:end="-1"/>
        <w:jc w:val="both"/>
        <w:rPr/>
      </w:pPr>
      <w:r>
        <w:rPr>
          <w:rStyle w:val="Fontepargpadro"/>
          <w:b/>
          <w:bCs/>
          <w:color w:val="000000"/>
          <w:sz w:val="20"/>
          <w:szCs w:val="20"/>
          <w:lang w:val="pt-PT"/>
        </w:rPr>
        <w:t>CLÁUSULA DÉCIMA SEXTA – DOS CASOS OMISSOS</w:t>
      </w:r>
    </w:p>
    <w:p>
      <w:pPr>
        <w:pStyle w:val="BodyText"/>
        <w:spacing w:lineRule="auto" w:line="240" w:before="28" w:after="28"/>
        <w:ind w:hanging="0" w:start="0" w:end="-1"/>
        <w:jc w:val="both"/>
        <w:rPr/>
      </w:pPr>
      <w:r>
        <w:rPr>
          <w:rStyle w:val="Fontepargpadro"/>
          <w:rFonts w:ascii="Arial" w:hAnsi="Arial"/>
          <w:color w:val="000000"/>
          <w:sz w:val="20"/>
          <w:szCs w:val="20"/>
        </w:rPr>
        <w:t xml:space="preserve">16.1. Os casos omissos serão decididos pelo CONTRATANTE, segundo as disposições contidas na Lei </w:t>
      </w:r>
      <w:hyperlink r:id="rId20" w:tgtFrame="_top">
        <w:r>
          <w:rPr>
            <w:rStyle w:val="Hyperlink"/>
            <w:rFonts w:ascii="Arial" w:hAnsi="Arial"/>
            <w:color w:val="000000"/>
            <w:sz w:val="20"/>
            <w:szCs w:val="20"/>
            <w:u w:val="none"/>
          </w:rPr>
          <w:t>nº 13.303/201</w:t>
        </w:r>
      </w:hyperlink>
      <w:r>
        <w:rPr>
          <w:rStyle w:val="Fontepargpadro"/>
          <w:rFonts w:eastAsia="Arial" w:cs="Arial" w:ascii="Arial" w:hAnsi="Arial"/>
          <w:color w:val="000000"/>
          <w:sz w:val="20"/>
          <w:szCs w:val="20"/>
        </w:rPr>
        <w:t>6</w:t>
      </w:r>
      <w:r>
        <w:rPr>
          <w:rStyle w:val="Fontepargpadro"/>
          <w:rFonts w:ascii="Arial" w:hAnsi="Arial"/>
          <w:color w:val="000000"/>
          <w:sz w:val="20"/>
          <w:szCs w:val="20"/>
        </w:rPr>
        <w:t xml:space="preserve">, Regulamentos Internos e demais normas estaduais aplicáveis e, subsidiariamente, segundo as disposições contidas na </w:t>
      </w:r>
      <w:hyperlink r:id="rId21" w:tgtFrame="_top">
        <w:r>
          <w:rPr>
            <w:rStyle w:val="Hyperlink"/>
            <w:rFonts w:ascii="Arial" w:hAnsi="Arial"/>
            <w:color w:val="000000"/>
            <w:sz w:val="20"/>
            <w:szCs w:val="20"/>
            <w:u w:val="none"/>
          </w:rPr>
          <w:t>Lei nº 8.078/1990 – Código de Defesa do Consumidor</w:t>
        </w:r>
      </w:hyperlink>
      <w:r>
        <w:rPr>
          <w:rStyle w:val="Fontepargpadro"/>
          <w:rFonts w:ascii="Arial" w:hAnsi="Arial"/>
          <w:color w:val="000000"/>
          <w:sz w:val="20"/>
          <w:szCs w:val="20"/>
        </w:rPr>
        <w:t xml:space="preserve"> – e normas e princípios gerais dos contratos.</w:t>
      </w:r>
    </w:p>
    <w:p>
      <w:pPr>
        <w:pStyle w:val="Nivel2"/>
        <w:spacing w:lineRule="auto" w:line="240" w:before="28" w:after="28"/>
        <w:ind w:hanging="0" w:start="0" w:end="-1"/>
        <w:jc w:val="both"/>
        <w:rPr/>
      </w:pPr>
      <w:r>
        <w:rPr>
          <w:rStyle w:val="Fontepargpadro"/>
          <w:b/>
          <w:bCs/>
          <w:color w:val="000000"/>
          <w:sz w:val="20"/>
          <w:szCs w:val="20"/>
          <w:lang w:val="pt-PT"/>
        </w:rPr>
        <w:t>CLÁUSULA DÉCIMA SÉTIMA – DA PUBLICAÇÃO</w:t>
      </w:r>
    </w:p>
    <w:p>
      <w:pPr>
        <w:pStyle w:val="Nivel2"/>
        <w:spacing w:lineRule="auto" w:line="240" w:before="28" w:after="28"/>
        <w:ind w:hanging="0" w:start="0" w:end="-1"/>
        <w:jc w:val="both"/>
        <w:rPr/>
      </w:pPr>
      <w:r>
        <w:rPr>
          <w:rStyle w:val="Fontepargpadro"/>
          <w:color w:val="000000"/>
          <w:sz w:val="20"/>
          <w:szCs w:val="20"/>
          <w:lang w:val="pt-PT"/>
        </w:rPr>
        <w:t>17.1. Incumbirá ao CONTRATANTE divulgar a publicação resumida do presente instrumento nos termos do §2º do art. 51 da Lei nº 13.303/2016 e no Regulamento Interno de Licitações.</w:t>
      </w:r>
    </w:p>
    <w:p>
      <w:pPr>
        <w:pStyle w:val="Normal"/>
        <w:spacing w:before="28" w:after="28"/>
        <w:ind w:hanging="0" w:start="0" w:end="-1"/>
        <w:jc w:val="both"/>
        <w:rPr/>
      </w:pPr>
      <w:r>
        <w:rPr>
          <w:rStyle w:val="Fontepargpadro"/>
          <w:rFonts w:ascii="Arial" w:hAnsi="Arial"/>
          <w:b/>
          <w:bCs/>
          <w:color w:val="000000"/>
          <w:sz w:val="20"/>
          <w:szCs w:val="20"/>
        </w:rPr>
        <w:t xml:space="preserve">CLÁUSULA </w:t>
      </w:r>
      <w:r>
        <w:rPr>
          <w:rStyle w:val="Fontepargpadro"/>
          <w:rFonts w:eastAsia="Arial" w:cs="Arial" w:ascii="Arial" w:hAnsi="Arial"/>
          <w:b/>
          <w:bCs/>
          <w:color w:val="000000"/>
          <w:sz w:val="20"/>
          <w:szCs w:val="20"/>
        </w:rPr>
        <w:t>DÉCIMA OITAVA</w:t>
      </w:r>
      <w:r>
        <w:rPr>
          <w:rStyle w:val="Fontepargpadro"/>
          <w:rFonts w:ascii="Arial" w:hAnsi="Arial"/>
          <w:b/>
          <w:bCs/>
          <w:color w:val="000000"/>
          <w:sz w:val="20"/>
          <w:szCs w:val="20"/>
        </w:rPr>
        <w:t xml:space="preserve"> – DA GESTÃO E FISCALIZAÇÃO</w:t>
      </w:r>
    </w:p>
    <w:p>
      <w:pPr>
        <w:pStyle w:val="Normal"/>
        <w:spacing w:before="28" w:after="28"/>
        <w:ind w:hanging="0" w:start="0" w:end="-1"/>
        <w:jc w:val="both"/>
        <w:rPr/>
      </w:pPr>
      <w:r>
        <w:rPr>
          <w:rStyle w:val="Fontepargpadro"/>
          <w:rFonts w:cs="Verdana" w:ascii="Arial" w:hAnsi="Arial"/>
          <w:color w:val="000000"/>
          <w:sz w:val="20"/>
          <w:szCs w:val="20"/>
        </w:rPr>
        <w:t>18.1. O modelo de gestão contratual consta no Termo de Referência, anexo a este contrato.</w:t>
      </w:r>
    </w:p>
    <w:p>
      <w:pPr>
        <w:pStyle w:val="Normal"/>
        <w:spacing w:before="28" w:after="28"/>
        <w:ind w:hanging="0" w:start="0" w:end="-1"/>
        <w:jc w:val="both"/>
        <w:rPr/>
      </w:pPr>
      <w:r>
        <w:rPr>
          <w:rStyle w:val="Fontepargpadro"/>
          <w:rFonts w:cs="Verdana" w:ascii="Arial" w:hAnsi="Arial"/>
          <w:color w:val="000000"/>
          <w:sz w:val="20"/>
          <w:szCs w:val="20"/>
        </w:rPr>
        <w:t>18.2. A execução contratual será acompanhada pelo(a) Gestor(a) do Contrato _________</w:t>
      </w:r>
      <w:r>
        <w:rPr>
          <w:rStyle w:val="Fontepargpadro"/>
          <w:rFonts w:cs="Arial" w:ascii="Arial" w:hAnsi="Arial"/>
          <w:color w:val="000000"/>
          <w:sz w:val="20"/>
          <w:szCs w:val="20"/>
        </w:rPr>
        <w:t>_ , CPF _______, representan</w:t>
      </w:r>
      <w:r>
        <w:rPr>
          <w:rStyle w:val="Fontepargpadro"/>
          <w:rFonts w:cs="Verdana" w:ascii="Arial" w:hAnsi="Arial"/>
          <w:color w:val="000000"/>
          <w:sz w:val="20"/>
          <w:szCs w:val="20"/>
        </w:rPr>
        <w:t>te especialmente designado(a) para este fim</w:t>
      </w:r>
      <w:r>
        <w:rPr>
          <w:rStyle w:val="Fontepargpadro"/>
          <w:rFonts w:eastAsia="Calibri" w:cs="Arial" w:ascii="Arial" w:hAnsi="Arial"/>
          <w:color w:val="000000"/>
          <w:sz w:val="20"/>
          <w:szCs w:val="20"/>
        </w:rPr>
        <w:t xml:space="preserve">, </w:t>
      </w:r>
      <w:r>
        <w:rPr>
          <w:rStyle w:val="Fontepargpadro"/>
          <w:rFonts w:cs="Arial" w:ascii="Arial" w:hAnsi="Arial"/>
          <w:color w:val="000000"/>
          <w:sz w:val="20"/>
          <w:szCs w:val="20"/>
        </w:rPr>
        <w:t>ou pelo</w:t>
      </w:r>
      <w:r>
        <w:rPr>
          <w:rStyle w:val="Fontepargpadro"/>
          <w:rFonts w:cs="Verdana" w:ascii="Arial" w:hAnsi="Arial"/>
          <w:color w:val="000000"/>
          <w:sz w:val="20"/>
          <w:szCs w:val="20"/>
        </w:rPr>
        <w:t>(a)</w:t>
      </w:r>
      <w:r>
        <w:rPr>
          <w:rStyle w:val="Fontepargpadro"/>
          <w:rFonts w:cs="Arial" w:ascii="Arial" w:hAnsi="Arial"/>
          <w:color w:val="000000"/>
          <w:sz w:val="20"/>
          <w:szCs w:val="20"/>
        </w:rPr>
        <w:t xml:space="preserve"> respectivo</w:t>
      </w:r>
      <w:r>
        <w:rPr>
          <w:rStyle w:val="Fontepargpadro"/>
          <w:rFonts w:cs="Verdana" w:ascii="Arial" w:hAnsi="Arial"/>
          <w:color w:val="000000"/>
          <w:sz w:val="20"/>
          <w:szCs w:val="20"/>
        </w:rPr>
        <w:t>(a)</w:t>
      </w:r>
      <w:r>
        <w:rPr>
          <w:rStyle w:val="Fontepargpadro"/>
          <w:rFonts w:cs="Arial" w:ascii="Arial" w:hAnsi="Arial"/>
          <w:color w:val="000000"/>
          <w:sz w:val="20"/>
          <w:szCs w:val="20"/>
        </w:rPr>
        <w:t xml:space="preserve"> substituto</w:t>
      </w:r>
      <w:r>
        <w:rPr>
          <w:rStyle w:val="Fontepargpadro"/>
          <w:rFonts w:cs="Verdana" w:ascii="Arial" w:hAnsi="Arial"/>
          <w:color w:val="000000"/>
          <w:sz w:val="20"/>
          <w:szCs w:val="20"/>
        </w:rPr>
        <w:t>(a)</w:t>
      </w:r>
      <w:r>
        <w:rPr>
          <w:rStyle w:val="Fontepargpadro"/>
          <w:rFonts w:cs="Arial" w:ascii="Arial" w:hAnsi="Arial"/>
          <w:color w:val="000000"/>
          <w:sz w:val="20"/>
          <w:szCs w:val="20"/>
        </w:rPr>
        <w:t>.</w:t>
      </w:r>
    </w:p>
    <w:p>
      <w:pPr>
        <w:pStyle w:val="Nivel2"/>
        <w:spacing w:lineRule="auto" w:line="240" w:before="28" w:after="28"/>
        <w:ind w:hanging="0" w:start="0" w:end="-1"/>
        <w:jc w:val="both"/>
        <w:rPr/>
      </w:pPr>
      <w:r>
        <w:rPr>
          <w:rStyle w:val="Fontepargpadro"/>
          <w:b/>
          <w:bCs/>
          <w:color w:val="000000"/>
          <w:sz w:val="20"/>
          <w:szCs w:val="20"/>
        </w:rPr>
        <w:t>CLÁUSULA DÉCIMA NONA – DO FORO</w:t>
      </w:r>
    </w:p>
    <w:p>
      <w:pPr>
        <w:pStyle w:val="Nivel2"/>
        <w:spacing w:lineRule="auto" w:line="240" w:before="28" w:after="28"/>
        <w:ind w:hanging="0" w:start="0" w:end="-1"/>
        <w:jc w:val="both"/>
        <w:rPr/>
      </w:pPr>
      <w:r>
        <w:rPr>
          <w:rStyle w:val="Fontepargpadro"/>
          <w:color w:val="000000"/>
          <w:sz w:val="20"/>
          <w:szCs w:val="20"/>
        </w:rPr>
        <w:t xml:space="preserve">19.1. Fica eleito o foro do município da sede do CONTRATANTE, para dirimir os litígios que decorrerem da execução deste Termo de Contrato que não puderem ser compostos pela conciliação, conforme </w:t>
      </w:r>
      <w:hyperlink r:id="rId22" w:anchor="art92%C2%A71" w:tgtFrame="_top">
        <w:r>
          <w:rPr>
            <w:rStyle w:val="Hyperlink"/>
            <w:color w:val="000000"/>
            <w:sz w:val="20"/>
            <w:szCs w:val="20"/>
            <w:u w:val="none"/>
          </w:rPr>
          <w:t>art. 92, §1º, da Lei nº 14.133/2021.</w:t>
        </w:r>
      </w:hyperlink>
    </w:p>
    <w:p>
      <w:pPr>
        <w:pStyle w:val="Nivel2"/>
        <w:spacing w:lineRule="auto" w:line="240" w:before="28" w:after="28"/>
        <w:ind w:hanging="0" w:start="0" w:end="-1"/>
        <w:jc w:val="both"/>
        <w:rPr/>
      </w:pPr>
      <w:r>
        <w:rPr>
          <w:rStyle w:val="Fontepargpadro"/>
          <w:color w:val="000000"/>
          <w:sz w:val="20"/>
          <w:szCs w:val="20"/>
          <w:lang w:val="pt-PT"/>
        </w:rPr>
        <w:t>E, por estarem de acordo, foi mandado lavrar o presente contrato, que está visado pela Assessoria Jurídica do CONTRATANTE, e do qual se extraíram 3 (três) vias de igual teor e forma, para um só efeito, as quais, depois de lidas e achadas conforme, vão assinadas pelos representantes das partes e pelas testemunhas abaixo.</w:t>
      </w:r>
    </w:p>
    <w:p>
      <w:pPr>
        <w:pStyle w:val="BodyText"/>
        <w:tabs>
          <w:tab w:val="clear" w:pos="709"/>
          <w:tab w:val="left" w:pos="993" w:leader="none"/>
          <w:tab w:val="left" w:pos="5742" w:leader="none"/>
        </w:tabs>
        <w:spacing w:lineRule="auto" w:line="240" w:before="28" w:after="28"/>
        <w:ind w:hanging="0" w:start="0" w:end="-1"/>
        <w:jc w:val="both"/>
        <w:rPr>
          <w:rFonts w:ascii="Arial" w:hAnsi="Arial"/>
          <w:color w:val="000000"/>
          <w:sz w:val="20"/>
          <w:szCs w:val="20"/>
        </w:rPr>
      </w:pPr>
      <w:r>
        <w:rPr>
          <w:rFonts w:ascii="Arial" w:hAnsi="Arial"/>
          <w:color w:val="000000"/>
          <w:sz w:val="20"/>
          <w:szCs w:val="20"/>
        </w:rPr>
      </w:r>
    </w:p>
    <w:p>
      <w:pPr>
        <w:pStyle w:val="BodyText"/>
        <w:tabs>
          <w:tab w:val="clear" w:pos="709"/>
          <w:tab w:val="left" w:pos="993" w:leader="none"/>
          <w:tab w:val="left" w:pos="5742" w:leader="none"/>
        </w:tabs>
        <w:spacing w:lineRule="auto" w:line="240" w:before="28" w:after="28"/>
        <w:ind w:hanging="0" w:start="0" w:end="-1"/>
        <w:jc w:val="both"/>
        <w:rPr>
          <w:rFonts w:ascii="Arial" w:hAnsi="Arial" w:cs="Verdana"/>
          <w:color w:val="000000"/>
          <w:sz w:val="20"/>
          <w:szCs w:val="20"/>
        </w:rPr>
      </w:pPr>
      <w:r>
        <w:rPr>
          <w:rFonts w:cs="Verdana" w:ascii="Arial" w:hAnsi="Arial"/>
          <w:color w:val="000000"/>
          <w:sz w:val="20"/>
          <w:szCs w:val="20"/>
        </w:rPr>
        <w:t>Local e data</w:t>
      </w:r>
    </w:p>
    <w:p>
      <w:pPr>
        <w:pStyle w:val="Contedodatabela"/>
        <w:snapToGrid w:val="false"/>
        <w:spacing w:before="28" w:after="28"/>
        <w:ind w:hanging="0" w:start="0" w:end="-1"/>
        <w:jc w:val="both"/>
        <w:rPr>
          <w:rFonts w:ascii="Arial" w:hAnsi="Arial"/>
          <w:color w:val="000000"/>
          <w:sz w:val="20"/>
          <w:szCs w:val="20"/>
        </w:rPr>
      </w:pPr>
      <w:r>
        <w:rPr>
          <w:rFonts w:ascii="Arial" w:hAnsi="Arial"/>
          <w:color w:val="000000"/>
          <w:sz w:val="20"/>
          <w:szCs w:val="20"/>
        </w:rPr>
      </w:r>
    </w:p>
    <w:p>
      <w:pPr>
        <w:pStyle w:val="Contedodatabela"/>
        <w:snapToGrid w:val="false"/>
        <w:spacing w:before="28" w:after="28"/>
        <w:ind w:hanging="0" w:start="0" w:end="-1"/>
        <w:jc w:val="both"/>
        <w:rPr>
          <w:rFonts w:ascii="Arial" w:hAnsi="Arial"/>
          <w:color w:val="000000"/>
          <w:sz w:val="20"/>
          <w:szCs w:val="20"/>
        </w:rPr>
      </w:pPr>
      <w:r>
        <w:rPr>
          <w:rFonts w:ascii="Arial" w:hAnsi="Arial"/>
          <w:color w:val="000000"/>
          <w:sz w:val="20"/>
          <w:szCs w:val="20"/>
        </w:rPr>
        <w:t>(nome do representante)                                      (nome do representante)</w:t>
      </w:r>
    </w:p>
    <w:p>
      <w:pPr>
        <w:pStyle w:val="Contedodatabela"/>
        <w:spacing w:before="28" w:after="28"/>
        <w:ind w:hanging="0" w:start="0" w:end="-1"/>
        <w:jc w:val="both"/>
        <w:rPr>
          <w:rFonts w:ascii="Arial" w:hAnsi="Arial"/>
          <w:color w:val="000000"/>
          <w:sz w:val="20"/>
          <w:szCs w:val="20"/>
        </w:rPr>
      </w:pPr>
      <w:r>
        <w:rPr>
          <w:rFonts w:ascii="Arial" w:hAnsi="Arial"/>
          <w:color w:val="000000"/>
          <w:sz w:val="20"/>
          <w:szCs w:val="20"/>
        </w:rPr>
        <w:t>CONTRATANTE                                                    CONTRATADO</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Testemunhas:</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(nome da testemunha 1)                                                  (nome da testemunha 2)</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RG:                                                                              RG:</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CPF:                                                                            CPF:</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t>Visto:</w:t>
      </w:r>
    </w:p>
    <w:p>
      <w:pPr>
        <w:pStyle w:val="Normal"/>
        <w:spacing w:before="28" w:after="28"/>
        <w:ind w:hanging="0" w:start="0" w:end="-1"/>
        <w:jc w:val="both"/>
        <w:rPr>
          <w:rFonts w:ascii="Arial" w:hAnsi="Arial"/>
          <w:color w:val="000000"/>
          <w:sz w:val="20"/>
          <w:szCs w:val="20"/>
        </w:rPr>
      </w:pPr>
      <w:r>
        <w:rPr>
          <w:rFonts w:ascii="Arial" w:hAnsi="Arial"/>
          <w:color w:val="000000"/>
          <w:sz w:val="20"/>
          <w:szCs w:val="20"/>
        </w:rPr>
      </w:r>
    </w:p>
    <w:p>
      <w:pPr>
        <w:pStyle w:val="Normal"/>
        <w:spacing w:before="113" w:after="57"/>
        <w:ind w:hanging="0" w:start="0" w:end="-1"/>
        <w:jc w:val="both"/>
        <w:rPr/>
      </w:pPr>
      <w:r>
        <w:rPr>
          <w:rStyle w:val="Fontepargpadro"/>
          <w:rFonts w:eastAsia="Times New Roman" w:cs="Verdana" w:ascii="Arial" w:hAnsi="Arial"/>
          <w:color w:val="000000"/>
          <w:sz w:val="20"/>
          <w:szCs w:val="20"/>
        </w:rPr>
        <w:t>(nome do(a) procurador(a)/assessor(a) jurídico(a) da CONTRATANTE)</w:t>
      </w:r>
    </w:p>
    <w:p>
      <w:pPr>
        <w:pStyle w:val="Normal"/>
        <w:spacing w:before="113" w:after="57"/>
        <w:ind w:hanging="0" w:start="0" w:end="-1"/>
        <w:jc w:val="both"/>
        <w:rPr>
          <w:rFonts w:ascii="Arial" w:hAnsi="Arial" w:cs="Calibri"/>
          <w:color w:val="000000"/>
          <w:sz w:val="20"/>
          <w:szCs w:val="20"/>
        </w:rPr>
      </w:pPr>
      <w:r>
        <w:rPr>
          <w:rFonts w:cs="Calibri" w:ascii="Arial" w:hAnsi="Arial"/>
          <w:color w:val="000000"/>
          <w:sz w:val="20"/>
          <w:szCs w:val="20"/>
        </w:rPr>
      </w:r>
    </w:p>
    <w:sectPr>
      <w:headerReference w:type="default" r:id="rId23"/>
      <w:footerReference w:type="default" r:id="rId24"/>
      <w:type w:val="nextPage"/>
      <w:pgSz w:w="11906" w:h="16838"/>
      <w:pgMar w:left="1134" w:right="850" w:gutter="0" w:header="340" w:top="850" w:footer="397" w:bottom="72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Arial MT">
    <w:charset w:val="00" w:characterSet="windows-1252"/>
    <w:family w:val="swiss"/>
    <w:pitch w:val="default"/>
  </w:font>
  <w:font w:name="OpenSymbol">
    <w:altName w:val="Arial Unicode MS"/>
    <w:charset w:val="00" w:characterSet="windows-1252"/>
    <w:family w:val="auto"/>
    <w:pitch w:val="variable"/>
  </w:font>
  <w:font w:name="Liberation Sans">
    <w:altName w:val="Arial"/>
    <w:charset w:val="00" w:characterSet="windows-1252"/>
    <w:family w:val="swiss"/>
    <w:pitch w:val="variable"/>
  </w:font>
  <w:font w:name="TimesNewRoman">
    <w:altName w:val="'''Times New Rom"/>
    <w:charset w:val="00" w:characterSet="windows-1252"/>
    <w:family w:val="roman"/>
    <w:pitch w:val="default"/>
  </w:font>
  <w:font w:name="Cumberland AMT">
    <w:altName w:val="Courier New"/>
    <w:charset w:val="00" w:characterSet="windows-1252"/>
    <w:family w:val="modern"/>
    <w:pitch w:val="default"/>
  </w:font>
  <w:font w:name="ArialMT">
    <w:charset w:val="00" w:characterSet="windows-1252"/>
    <w:family w:val="swiss"/>
    <w:pitch w:val="variable"/>
  </w:font>
  <w:font w:name="ArialMT">
    <w:charset w:val="00" w:characterSet="windows-1252"/>
    <w:family w:val="roman"/>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ind w:hanging="0" w:start="0" w:end="-1"/>
      <w:jc w:val="center"/>
      <w:rPr/>
    </w:pPr>
    <w:r>
      <w:rPr>
        <w:rStyle w:val="Fontepargpadro2"/>
        <w:rFonts w:cs="Calibri" w:ascii="Arial" w:hAnsi="Arial"/>
        <w:b/>
        <w:bCs/>
        <w:color w:val="000000"/>
        <w:sz w:val="14"/>
        <w:szCs w:val="14"/>
      </w:rPr>
      <w:t>PE Nº 20250005– ETICE/DITEC</w:t>
      <w:tab/>
      <w:tab/>
      <w:tab/>
      <w:tab/>
      <w:tab/>
      <w:tab/>
      <w:tab/>
      <w:tab/>
    </w:r>
    <w:r>
      <w:rPr>
        <w:rStyle w:val="Fontepargpadro2"/>
        <w:rFonts w:cs="Calibri" w:ascii="Arial" w:hAnsi="Arial"/>
        <w:b/>
        <w:bCs/>
        <w:color w:val="000000"/>
        <w:sz w:val="14"/>
        <w:szCs w:val="14"/>
      </w:rPr>
      <w:fldChar w:fldCharType="begin"/>
    </w:r>
    <w:r>
      <w:rPr>
        <w:rStyle w:val="Fontepargpadro2"/>
        <w:sz w:val="14"/>
        <w:b/>
        <w:szCs w:val="14"/>
        <w:bCs/>
        <w:rFonts w:cs="Calibri" w:ascii="Arial" w:hAnsi="Arial"/>
        <w:color w:val="000000"/>
      </w:rPr>
      <w:instrText xml:space="preserve"> PAGE </w:instrText>
    </w:r>
    <w:r>
      <w:rPr>
        <w:rStyle w:val="Fontepargpadro2"/>
        <w:sz w:val="14"/>
        <w:b/>
        <w:szCs w:val="14"/>
        <w:bCs/>
        <w:rFonts w:cs="Calibri" w:ascii="Arial" w:hAnsi="Arial"/>
        <w:color w:val="000000"/>
      </w:rPr>
      <w:fldChar w:fldCharType="separate"/>
    </w:r>
    <w:r>
      <w:rPr>
        <w:rStyle w:val="Fontepargpadro2"/>
        <w:sz w:val="14"/>
        <w:b/>
        <w:szCs w:val="14"/>
        <w:bCs/>
        <w:rFonts w:cs="Calibri" w:ascii="Arial" w:hAnsi="Arial"/>
        <w:color w:val="000000"/>
      </w:rPr>
      <w:t>11</w:t>
    </w:r>
    <w:r>
      <w:rPr>
        <w:rStyle w:val="Fontepargpadro2"/>
        <w:sz w:val="14"/>
        <w:b/>
        <w:szCs w:val="14"/>
        <w:bCs/>
        <w:rFonts w:cs="Calibri" w:ascii="Arial" w:hAnsi="Arial"/>
        <w:color w:val="000000"/>
      </w:rPr>
      <w:fldChar w:fldCharType="end"/>
    </w:r>
    <w:r>
      <w:rPr>
        <w:rStyle w:val="Fontepargpadro2"/>
        <w:rFonts w:cs="Calibri" w:ascii="Arial" w:hAnsi="Arial"/>
        <w:b/>
        <w:bCs/>
        <w:color w:val="000000"/>
        <w:sz w:val="14"/>
        <w:szCs w:val="14"/>
      </w:rPr>
      <w:t>/</w:t>
    </w:r>
    <w:r>
      <w:rPr>
        <w:rStyle w:val="Fontepargpadro2"/>
        <w:rFonts w:cs="Calibri" w:ascii="Arial" w:hAnsi="Arial"/>
        <w:b/>
        <w:bCs/>
        <w:color w:val="000000"/>
        <w:sz w:val="14"/>
        <w:szCs w:val="14"/>
      </w:rPr>
      <w:fldChar w:fldCharType="begin"/>
    </w:r>
    <w:r>
      <w:rPr>
        <w:rStyle w:val="Fontepargpadro2"/>
        <w:sz w:val="14"/>
        <w:b/>
        <w:szCs w:val="14"/>
        <w:bCs/>
        <w:rFonts w:cs="Calibri" w:ascii="Arial" w:hAnsi="Arial"/>
        <w:color w:val="000000"/>
      </w:rPr>
      <w:instrText xml:space="preserve"> NUMPAGES </w:instrText>
    </w:r>
    <w:r>
      <w:rPr>
        <w:rStyle w:val="Fontepargpadro2"/>
        <w:sz w:val="14"/>
        <w:b/>
        <w:szCs w:val="14"/>
        <w:bCs/>
        <w:rFonts w:cs="Calibri" w:ascii="Arial" w:hAnsi="Arial"/>
        <w:color w:val="000000"/>
      </w:rPr>
      <w:fldChar w:fldCharType="separate"/>
    </w:r>
    <w:r>
      <w:rPr>
        <w:rStyle w:val="Fontepargpadro2"/>
        <w:sz w:val="14"/>
        <w:b/>
        <w:szCs w:val="14"/>
        <w:bCs/>
        <w:rFonts w:cs="Calibri" w:ascii="Arial" w:hAnsi="Arial"/>
        <w:color w:val="000000"/>
      </w:rPr>
      <w:t>11</w:t>
    </w:r>
    <w:r>
      <w:rPr>
        <w:rStyle w:val="Fontepargpadro2"/>
        <w:sz w:val="14"/>
        <w:b/>
        <w:szCs w:val="14"/>
        <w:bCs/>
        <w:rFonts w:cs="Calibri" w:ascii="Arial" w:hAnsi="Arial"/>
        <w:color w:val="00000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12"/>
        <w:szCs w:val="12"/>
      </w:rPr>
    </w:pPr>
    <w:r>
      <w:rPr>
        <w:sz w:val="12"/>
        <w:szCs w:val="12"/>
      </w:rPr>
      <w:drawing>
        <wp:anchor behindDoc="1" distT="0" distB="0" distL="0" distR="0" simplePos="0" locked="0" layoutInCell="1" allowOverlap="1" relativeHeight="12">
          <wp:simplePos x="0" y="0"/>
          <wp:positionH relativeFrom="column">
            <wp:posOffset>947420</wp:posOffset>
          </wp:positionH>
          <wp:positionV relativeFrom="paragraph">
            <wp:posOffset>-36195</wp:posOffset>
          </wp:positionV>
          <wp:extent cx="3875405" cy="360680"/>
          <wp:effectExtent l="0" t="0" r="0" b="0"/>
          <wp:wrapNone/>
          <wp:docPr id="1" name="Image 1 Copia 1 Copia 1 Copia 1 Copia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Copia 1 Copia 1 Copia 1 Copia 1" descr="" title=""/>
                  <pic:cNvPicPr>
                    <a:picLocks noChangeAspect="1" noChangeArrowheads="1"/>
                  </pic:cNvPicPr>
                </pic:nvPicPr>
                <pic:blipFill>
                  <a:blip r:embed="rId1"/>
                  <a:stretch>
                    <a:fillRect/>
                  </a:stretch>
                </pic:blipFill>
                <pic:spPr bwMode="auto">
                  <a:xfrm>
                    <a:off x="0" y="0"/>
                    <a:ext cx="3875405" cy="36068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pStyle w:val="Heading4"/>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238" w:hanging="488"/>
      </w:pPr>
      <w:rPr>
        <w:rFonts w:ascii="Wingdings" w:hAnsi="Wingdings" w:cs="Wingdings" w:hint="default"/>
      </w:rPr>
    </w:lvl>
    <w:lvl w:ilvl="1">
      <w:start w:val="1"/>
      <w:numFmt w:val="decimal"/>
      <w:lvlText w:val="%1.%2."/>
      <w:lvlJc w:val="start"/>
      <w:pPr>
        <w:tabs>
          <w:tab w:val="num" w:pos="0"/>
        </w:tabs>
        <w:ind w:start="1399" w:hanging="1167"/>
      </w:pPr>
      <w:rPr>
        <w:sz w:val="20"/>
        <w:szCs w:val="20"/>
        <w:w w:val="96"/>
        <w:rFonts w:ascii="Arial MT" w:hAnsi="Arial MT" w:eastAsia="Arial MT" w:cs="Arial MT"/>
        <w:lang w:val="pt-PT" w:eastAsia="en-US" w:bidi="ar-SA"/>
      </w:rPr>
    </w:lvl>
    <w:lvl w:ilvl="2">
      <w:start w:val="1"/>
      <w:numFmt w:val="decimal"/>
      <w:lvlText w:val="%1.%2.%3."/>
      <w:lvlJc w:val="start"/>
      <w:pPr>
        <w:tabs>
          <w:tab w:val="num" w:pos="0"/>
        </w:tabs>
        <w:ind w:start="1399" w:hanging="1167"/>
      </w:pPr>
      <w:rPr>
        <w:sz w:val="20"/>
        <w:szCs w:val="20"/>
        <w:w w:val="96"/>
        <w:rFonts w:ascii="Arial MT" w:hAnsi="Arial MT" w:eastAsia="Arial MT" w:cs="Arial MT"/>
        <w:lang w:val="pt-PT" w:eastAsia="en-US" w:bidi="ar-SA"/>
      </w:rPr>
    </w:lvl>
    <w:lvl w:ilvl="3">
      <w:start w:val="1"/>
      <w:numFmt w:val="bullet"/>
      <w:lvlText w:val=""/>
      <w:lvlJc w:val="start"/>
      <w:pPr>
        <w:tabs>
          <w:tab w:val="num" w:pos="0"/>
        </w:tabs>
        <w:ind w:start="2600" w:hanging="1167"/>
      </w:pPr>
      <w:rPr>
        <w:rFonts w:ascii="Symbol" w:hAnsi="Symbol" w:cs="Symbol" w:hint="default"/>
        <w:lang w:val="pt-PT" w:eastAsia="en-US" w:bidi="ar-SA"/>
      </w:rPr>
    </w:lvl>
    <w:lvl w:ilvl="4">
      <w:start w:val="1"/>
      <w:numFmt w:val="bullet"/>
      <w:lvlText w:val=""/>
      <w:lvlJc w:val="start"/>
      <w:pPr>
        <w:tabs>
          <w:tab w:val="num" w:pos="0"/>
        </w:tabs>
        <w:ind w:start="3801" w:hanging="1167"/>
      </w:pPr>
      <w:rPr>
        <w:rFonts w:ascii="Symbol" w:hAnsi="Symbol" w:cs="Symbol" w:hint="default"/>
        <w:lang w:val="pt-PT" w:eastAsia="en-US" w:bidi="ar-SA"/>
      </w:rPr>
    </w:lvl>
    <w:lvl w:ilvl="5">
      <w:start w:val="1"/>
      <w:numFmt w:val="bullet"/>
      <w:lvlText w:val=""/>
      <w:lvlJc w:val="start"/>
      <w:pPr>
        <w:tabs>
          <w:tab w:val="num" w:pos="0"/>
        </w:tabs>
        <w:ind w:start="5002" w:hanging="1167"/>
      </w:pPr>
      <w:rPr>
        <w:rFonts w:ascii="Symbol" w:hAnsi="Symbol" w:cs="Symbol" w:hint="default"/>
        <w:lang w:val="pt-PT" w:eastAsia="en-US" w:bidi="ar-SA"/>
      </w:rPr>
    </w:lvl>
    <w:lvl w:ilvl="6">
      <w:start w:val="1"/>
      <w:numFmt w:val="bullet"/>
      <w:lvlText w:val=""/>
      <w:lvlJc w:val="start"/>
      <w:pPr>
        <w:tabs>
          <w:tab w:val="num" w:pos="0"/>
        </w:tabs>
        <w:ind w:start="6203" w:hanging="1167"/>
      </w:pPr>
      <w:rPr>
        <w:rFonts w:ascii="Symbol" w:hAnsi="Symbol" w:cs="Symbol" w:hint="default"/>
        <w:lang w:val="pt-PT" w:eastAsia="en-US" w:bidi="ar-SA"/>
      </w:rPr>
    </w:lvl>
    <w:lvl w:ilvl="7">
      <w:start w:val="1"/>
      <w:numFmt w:val="bullet"/>
      <w:lvlText w:val=""/>
      <w:lvlJc w:val="start"/>
      <w:pPr>
        <w:tabs>
          <w:tab w:val="num" w:pos="0"/>
        </w:tabs>
        <w:ind w:start="7404" w:hanging="1167"/>
      </w:pPr>
      <w:rPr>
        <w:rFonts w:ascii="Symbol" w:hAnsi="Symbol" w:cs="Symbol" w:hint="default"/>
        <w:lang w:val="pt-PT" w:eastAsia="en-US" w:bidi="ar-SA"/>
      </w:rPr>
    </w:lvl>
    <w:lvl w:ilvl="8">
      <w:start w:val="1"/>
      <w:numFmt w:val="bullet"/>
      <w:lvlText w:val=""/>
      <w:lvlJc w:val="start"/>
      <w:pPr>
        <w:tabs>
          <w:tab w:val="num" w:pos="0"/>
        </w:tabs>
        <w:ind w:start="8604" w:hanging="1167"/>
      </w:pPr>
      <w:rPr>
        <w:rFonts w:ascii="Symbol" w:hAnsi="Symbol" w:cs="Symbol" w:hint="default"/>
        <w:lang w:val="pt-PT" w:eastAsia="en-US" w:bidi="ar-SA"/>
      </w:rPr>
    </w:lvl>
  </w:abstractNum>
  <w:num w:numId="1">
    <w:abstractNumId w:val="1"/>
  </w:num>
  <w:num w:numId="2">
    <w:abstractNumId w:val="2"/>
  </w:num>
</w:numbering>
</file>

<file path=word/settings.xml><?xml version="1.0" encoding="utf-8"?>
<w:settings xmlns:w="http://schemas.openxmlformats.org/wordprocessingml/2006/main">
  <w:zoom w:percent="18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start"/>
    </w:pPr>
    <w:rPr>
      <w:rFonts w:ascii="Liberation Serif" w:hAnsi="Liberation Serif" w:eastAsia="NSimSun" w:cs="Lucida Sans"/>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pt-BR" w:eastAsia="zh-CN" w:bidi="hi-IN"/>
    </w:rPr>
  </w:style>
  <w:style w:type="paragraph" w:styleId="Heading2">
    <w:name w:val="heading 2"/>
    <w:basedOn w:val="Normal"/>
    <w:next w:val="Normal"/>
    <w:qFormat/>
    <w:pPr>
      <w:keepNext w:val="true"/>
      <w:widowControl w:val="false"/>
      <w:numPr>
        <w:ilvl w:val="1"/>
        <w:numId w:val="1"/>
      </w:numPr>
      <w:tabs>
        <w:tab w:val="clear" w:pos="709"/>
      </w:tabs>
      <w:suppressAutoHyphens w:val="true"/>
      <w:spacing w:before="240" w:after="0"/>
      <w:ind w:hanging="0" w:start="288" w:end="0"/>
      <w:jc w:val="center"/>
      <w:outlineLvl w:val="1"/>
    </w:pPr>
    <w:rPr>
      <w:rFonts w:ascii="Arial" w:hAnsi="Arial" w:eastAsia="Arial" w:cs="Arial"/>
      <w:b/>
      <w:bCs/>
    </w:rPr>
  </w:style>
  <w:style w:type="paragraph" w:styleId="Heading4">
    <w:name w:val="heading 4"/>
    <w:basedOn w:val="Normal"/>
    <w:next w:val="Normal"/>
    <w:qFormat/>
    <w:pPr>
      <w:keepNext w:val="true"/>
      <w:numPr>
        <w:ilvl w:val="3"/>
        <w:numId w:val="1"/>
      </w:numPr>
      <w:tabs>
        <w:tab w:val="clear" w:pos="709"/>
      </w:tabs>
      <w:suppressAutoHyphens w:val="true"/>
      <w:ind w:hanging="10" w:start="34" w:end="59"/>
      <w:jc w:val="center"/>
      <w:outlineLvl w:val="3"/>
    </w:pPr>
    <w:rPr>
      <w:rFonts w:ascii="Arial" w:hAnsi="Arial" w:eastAsia="Arial" w:cs="Arial"/>
      <w:b/>
      <w:color w:val="000000"/>
      <w:sz w:val="20"/>
      <w:lang w:val="en-US"/>
    </w:rPr>
  </w:style>
  <w:style w:type="character" w:styleId="Fontepargpadro">
    <w:name w:val="Fonte parág. padrão"/>
    <w:qFormat/>
    <w:rPr/>
  </w:style>
  <w:style w:type="character" w:styleId="Fontepargpadro2">
    <w:name w:val="Fonte parág. padrão2"/>
    <w:qFormat/>
    <w:rPr/>
  </w:style>
  <w:style w:type="character" w:styleId="Hyperlink">
    <w:name w:val="Hyperlink"/>
    <w:rPr>
      <w:color w:val="000080"/>
      <w:u w:val="single"/>
    </w:rPr>
  </w:style>
  <w:style w:type="character" w:styleId="FollowedHyperlink">
    <w:name w:val="FollowedHyperlink"/>
    <w:rPr>
      <w:color w:val="800080"/>
      <w:u w:val="single"/>
    </w:rPr>
  </w:style>
  <w:style w:type="character" w:styleId="Fontepargpadro5">
    <w:name w:val="Fonte parág. padrão5"/>
    <w:qFormat/>
    <w:rPr/>
  </w:style>
  <w:style w:type="character" w:styleId="Tipodeletrapredefinidodopargrafo1">
    <w:name w:val="Tipo de letra predefinido do parágrafo1"/>
    <w:qFormat/>
    <w:rPr/>
  </w:style>
  <w:style w:type="character" w:styleId="Fontepargpadro1">
    <w:name w:val="Fonte parág. padrão1"/>
    <w:qFormat/>
    <w:rPr/>
  </w:style>
  <w:style w:type="character" w:styleId="Tipodeletrapredefinidodopargrafo">
    <w:name w:val="Tipo de letra predefinido do parágrafo"/>
    <w:qFormat/>
    <w:rPr/>
  </w:style>
  <w:style w:type="character" w:styleId="Fontepargpadro4">
    <w:name w:val="Fonte parág. padrão4"/>
    <w:qFormat/>
    <w:rPr/>
  </w:style>
  <w:style w:type="character" w:styleId="Fontepargpadro6">
    <w:name w:val="Fonte parág. padrão6"/>
    <w:qFormat/>
    <w:rPr/>
  </w:style>
  <w:style w:type="character" w:styleId="WW8Num2z0">
    <w:name w:val="WW8Num2z0"/>
    <w:qFormat/>
    <w:rPr>
      <w:rFonts w:ascii="Calibri" w:hAnsi="Calibri" w:eastAsia="Times New Roman" w:cs="Calibri"/>
      <w:sz w:val="21"/>
      <w:szCs w:val="21"/>
    </w:rPr>
  </w:style>
  <w:style w:type="character" w:styleId="WW8Num2z1">
    <w:name w:val="WW8Num2z1"/>
    <w:qFormat/>
    <w:rPr>
      <w:rFonts w:ascii="Calibri" w:hAnsi="Calibri" w:eastAsia="Times New Roman" w:cs="Calibri"/>
      <w:b/>
      <w:bCs/>
      <w:sz w:val="21"/>
      <w:szCs w:val="21"/>
      <w:shd w:fill="008080" w:val="clear"/>
      <w:lang w:eastAsia="en-US" w:bidi="hi-IN"/>
    </w:rPr>
  </w:style>
  <w:style w:type="character" w:styleId="WW8Num6z0">
    <w:name w:val="WW8Num6z0"/>
    <w:qFormat/>
    <w:rPr>
      <w:rFonts w:ascii="Arial MT" w:hAnsi="Arial MT" w:eastAsia="Arial MT" w:cs="Arial MT"/>
      <w:b/>
      <w:bCs/>
      <w:w w:val="96"/>
      <w:sz w:val="20"/>
      <w:szCs w:val="20"/>
      <w:lang w:val="pt-PT" w:bidi="ar-SA"/>
    </w:rPr>
  </w:style>
  <w:style w:type="character" w:styleId="WW8Num6z1">
    <w:name w:val="WW8Num6z1"/>
    <w:qFormat/>
    <w:rPr>
      <w:rFonts w:ascii="Symbol" w:hAnsi="Symbol" w:eastAsia="Symbol" w:cs="Arial MT"/>
      <w:w w:val="96"/>
      <w:sz w:val="20"/>
      <w:szCs w:val="20"/>
      <w:lang w:val="pt-PT" w:bidi="ar-SA"/>
    </w:rPr>
  </w:style>
  <w:style w:type="character" w:styleId="WW8Num6z3">
    <w:name w:val="WW8Num6z3"/>
    <w:qFormat/>
    <w:rPr>
      <w:rFonts w:ascii="Symbol" w:hAnsi="Symbol" w:eastAsia="Symbol" w:cs="Symbol"/>
      <w:lang w:val="pt-PT" w:bidi="ar-SA"/>
    </w:rPr>
  </w:style>
  <w:style w:type="character" w:styleId="WW8Num7z0">
    <w:name w:val="WW8Num7z0"/>
    <w:qFormat/>
    <w:rPr>
      <w:rFonts w:ascii="Symbol" w:hAnsi="Symbol" w:eastAsia="Symbol" w:cs="OpenSymbol;Arial Unicode MS"/>
    </w:rPr>
  </w:style>
  <w:style w:type="character" w:styleId="WW8Num7z1">
    <w:name w:val="WW8Num7z1"/>
    <w:qFormat/>
    <w:rPr>
      <w:rFonts w:ascii="OpenSymbol;Arial Unicode MS" w:hAnsi="OpenSymbol;Arial Unicode MS" w:eastAsia="OpenSymbol;Arial Unicode MS" w:cs="OpenSymbol;Arial Unicode MS"/>
    </w:rPr>
  </w:style>
  <w:style w:type="character" w:styleId="WW8Num4z0">
    <w:name w:val="WW8Num4z0"/>
    <w:qFormat/>
    <w:rPr>
      <w:rFonts w:ascii="Symbol" w:hAnsi="Symbol" w:eastAsia="Symbol" w:cs="Symbol"/>
      <w:lang w:val="pt-PT" w:eastAsia="en-US" w:bidi="ar-SA"/>
    </w:rPr>
  </w:style>
  <w:style w:type="character" w:styleId="WW8Num4z1">
    <w:name w:val="WW8Num4z1"/>
    <w:qFormat/>
    <w:rPr>
      <w:rFonts w:ascii="OpenSymbol;Arial Unicode MS" w:hAnsi="OpenSymbol;Arial Unicode MS" w:eastAsia="OpenSymbol;Arial Unicode MS" w:cs="Arial MT"/>
      <w:w w:val="99"/>
      <w:sz w:val="18"/>
      <w:szCs w:val="18"/>
      <w:lang w:val="pt-PT" w:eastAsia="en-US" w:bidi="ar-SA"/>
    </w:rPr>
  </w:style>
  <w:style w:type="character" w:styleId="WW8Num5z0">
    <w:name w:val="WW8Num5z0"/>
    <w:qFormat/>
    <w:rPr>
      <w:rFonts w:ascii="Symbol" w:hAnsi="Symbol" w:eastAsia="Symbol" w:cs="Symbol"/>
      <w:lang w:val="pt-PT" w:eastAsia="en-US" w:bidi="ar-SA"/>
    </w:rPr>
  </w:style>
  <w:style w:type="character" w:styleId="WW8Num5z1">
    <w:name w:val="WW8Num5z1"/>
    <w:qFormat/>
    <w:rPr>
      <w:rFonts w:ascii="OpenSymbol;Arial Unicode MS" w:hAnsi="OpenSymbol;Arial Unicode MS" w:eastAsia="OpenSymbol;Arial Unicode MS" w:cs="Arial MT"/>
      <w:w w:val="99"/>
      <w:sz w:val="20"/>
      <w:szCs w:val="20"/>
      <w:lang w:val="pt-PT" w:eastAsia="en-US" w:bidi="ar-SA"/>
    </w:rPr>
  </w:style>
  <w:style w:type="character" w:styleId="WW8Num3z0">
    <w:name w:val="WW8Num3z0"/>
    <w:qFormat/>
    <w:rPr>
      <w:rFonts w:ascii="Arial MT" w:hAnsi="Arial MT" w:eastAsia="Arial MT" w:cs="Arial MT"/>
      <w:w w:val="96"/>
      <w:sz w:val="20"/>
      <w:szCs w:val="20"/>
      <w:lang w:val="pt-PT" w:eastAsia="en-US" w:bidi="ar-SA"/>
    </w:rPr>
  </w:style>
  <w:style w:type="character" w:styleId="WW8Num3z3">
    <w:name w:val="WW8Num3z3"/>
    <w:qFormat/>
    <w:rPr>
      <w:rFonts w:ascii="Symbol" w:hAnsi="Symbol" w:eastAsia="Symbol" w:cs="Symbol"/>
      <w:lang w:val="pt-PT" w:eastAsia="en-US" w:bidi="ar-SA"/>
    </w:rPr>
  </w:style>
  <w:style w:type="character" w:styleId="Caracteresdenotaderodap">
    <w:name w:val="Caracteres de nota de rodapé"/>
    <w:qFormat/>
    <w:rPr/>
  </w:style>
  <w:style w:type="character" w:styleId="Caracteresdenotadefim">
    <w:name w:val="Caracteres de nota de fim"/>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Marcadores">
    <w:name w:val="Marcadores"/>
    <w:qFormat/>
    <w:rPr>
      <w:rFonts w:ascii="OpenSymbol" w:hAnsi="OpenSymbol" w:eastAsia="OpenSymbol" w:cs="OpenSymbol"/>
    </w:rPr>
  </w:style>
  <w:style w:type="character" w:styleId="WWCharLFO1LVL1">
    <w:name w:val="WW_CharLFO1LVL1"/>
    <w:qFormat/>
    <w:rPr>
      <w:rFonts w:ascii="Calibri" w:hAnsi="Calibri" w:eastAsia="Times New Roman" w:cs="Calibri"/>
      <w:sz w:val="21"/>
      <w:szCs w:val="21"/>
    </w:rPr>
  </w:style>
  <w:style w:type="character" w:styleId="WWCharLFO1LVL2">
    <w:name w:val="WW_CharLFO1LVL2"/>
    <w:qFormat/>
    <w:rPr>
      <w:rFonts w:ascii="Calibri" w:hAnsi="Calibri" w:eastAsia="Times New Roman" w:cs="Calibri"/>
      <w:b/>
      <w:bCs/>
      <w:sz w:val="21"/>
      <w:szCs w:val="21"/>
      <w:shd w:fill="008080" w:val="clear"/>
      <w:lang w:eastAsia="en-US" w:bidi="hi-IN"/>
    </w:rPr>
  </w:style>
  <w:style w:type="character" w:styleId="WWCharLFO2LVL1">
    <w:name w:val="WW_CharLFO2LVL1"/>
    <w:qFormat/>
    <w:rPr>
      <w:rFonts w:ascii="Arial MT" w:hAnsi="Arial MT" w:eastAsia="Arial MT" w:cs="Arial MT"/>
      <w:b/>
      <w:bCs/>
      <w:w w:val="96"/>
      <w:sz w:val="20"/>
      <w:szCs w:val="20"/>
      <w:lang w:val="pt-PT" w:bidi="ar-SA"/>
    </w:rPr>
  </w:style>
  <w:style w:type="character" w:styleId="WWCharLFO2LVL2">
    <w:name w:val="WW_CharLFO2LVL2"/>
    <w:qFormat/>
    <w:rPr>
      <w:rFonts w:ascii="Symbol" w:hAnsi="Symbol" w:cs="Arial MT"/>
      <w:w w:val="96"/>
      <w:sz w:val="20"/>
      <w:szCs w:val="20"/>
      <w:lang w:val="pt-PT" w:bidi="ar-SA"/>
    </w:rPr>
  </w:style>
  <w:style w:type="character" w:styleId="WWCharLFO2LVL3">
    <w:name w:val="WW_CharLFO2LVL3"/>
    <w:qFormat/>
    <w:rPr>
      <w:rFonts w:ascii="Symbol" w:hAnsi="Symbol" w:cs="Arial MT"/>
      <w:w w:val="96"/>
      <w:sz w:val="20"/>
      <w:szCs w:val="20"/>
      <w:lang w:val="pt-PT" w:bidi="ar-SA"/>
    </w:rPr>
  </w:style>
  <w:style w:type="character" w:styleId="WWCharLFO2LVL4">
    <w:name w:val="WW_CharLFO2LVL4"/>
    <w:qFormat/>
    <w:rPr>
      <w:rFonts w:ascii="Symbol" w:hAnsi="Symbol" w:cs="Symbol"/>
      <w:lang w:val="pt-PT" w:bidi="ar-SA"/>
    </w:rPr>
  </w:style>
  <w:style w:type="character" w:styleId="WWCharLFO2LVL5">
    <w:name w:val="WW_CharLFO2LVL5"/>
    <w:qFormat/>
    <w:rPr>
      <w:rFonts w:ascii="Symbol" w:hAnsi="Symbol" w:cs="Symbol"/>
      <w:lang w:val="pt-PT" w:bidi="ar-SA"/>
    </w:rPr>
  </w:style>
  <w:style w:type="character" w:styleId="WWCharLFO2LVL6">
    <w:name w:val="WW_CharLFO2LVL6"/>
    <w:qFormat/>
    <w:rPr>
      <w:rFonts w:ascii="Symbol" w:hAnsi="Symbol" w:cs="Symbol"/>
      <w:lang w:val="pt-PT" w:bidi="ar-SA"/>
    </w:rPr>
  </w:style>
  <w:style w:type="character" w:styleId="WWCharLFO2LVL7">
    <w:name w:val="WW_CharLFO2LVL7"/>
    <w:qFormat/>
    <w:rPr>
      <w:rFonts w:ascii="Symbol" w:hAnsi="Symbol" w:cs="Symbol"/>
      <w:lang w:val="pt-PT" w:bidi="ar-SA"/>
    </w:rPr>
  </w:style>
  <w:style w:type="character" w:styleId="WWCharLFO2LVL8">
    <w:name w:val="WW_CharLFO2LVL8"/>
    <w:qFormat/>
    <w:rPr>
      <w:rFonts w:ascii="Symbol" w:hAnsi="Symbol" w:cs="Symbol"/>
      <w:lang w:val="pt-PT" w:bidi="ar-SA"/>
    </w:rPr>
  </w:style>
  <w:style w:type="character" w:styleId="WWCharLFO2LVL9">
    <w:name w:val="WW_CharLFO2LVL9"/>
    <w:qFormat/>
    <w:rPr>
      <w:rFonts w:ascii="Symbol" w:hAnsi="Symbol" w:cs="Symbol"/>
      <w:lang w:val="pt-PT" w:bidi="ar-SA"/>
    </w:rPr>
  </w:style>
  <w:style w:type="character" w:styleId="WWCharLFO3LVL1">
    <w:name w:val="WW_CharLFO3LVL1"/>
    <w:qFormat/>
    <w:rPr>
      <w:rFonts w:ascii="Symbol" w:hAnsi="Symbol" w:cs="OpenSymbol;Arial Unicode MS"/>
    </w:rPr>
  </w:style>
  <w:style w:type="character" w:styleId="WWCharLFO3LVL2">
    <w:name w:val="WW_CharLFO3LVL2"/>
    <w:qFormat/>
    <w:rPr>
      <w:rFonts w:ascii="OpenSymbol;Arial Unicode MS" w:hAnsi="OpenSymbol;Arial Unicode MS" w:cs="OpenSymbol;Arial Unicode MS"/>
    </w:rPr>
  </w:style>
  <w:style w:type="character" w:styleId="WWCharLFO3LVL3">
    <w:name w:val="WW_CharLFO3LVL3"/>
    <w:qFormat/>
    <w:rPr>
      <w:rFonts w:ascii="OpenSymbol;Arial Unicode MS" w:hAnsi="OpenSymbol;Arial Unicode MS" w:cs="OpenSymbol;Arial Unicode MS"/>
    </w:rPr>
  </w:style>
  <w:style w:type="character" w:styleId="WWCharLFO3LVL4">
    <w:name w:val="WW_CharLFO3LVL4"/>
    <w:qFormat/>
    <w:rPr>
      <w:rFonts w:ascii="Symbol" w:hAnsi="Symbol" w:cs="OpenSymbol;Arial Unicode MS"/>
    </w:rPr>
  </w:style>
  <w:style w:type="character" w:styleId="WWCharLFO3LVL5">
    <w:name w:val="WW_CharLFO3LVL5"/>
    <w:qFormat/>
    <w:rPr>
      <w:rFonts w:ascii="OpenSymbol;Arial Unicode MS" w:hAnsi="OpenSymbol;Arial Unicode MS" w:cs="OpenSymbol;Arial Unicode MS"/>
    </w:rPr>
  </w:style>
  <w:style w:type="character" w:styleId="WWCharLFO3LVL6">
    <w:name w:val="WW_CharLFO3LVL6"/>
    <w:qFormat/>
    <w:rPr>
      <w:rFonts w:ascii="OpenSymbol;Arial Unicode MS" w:hAnsi="OpenSymbol;Arial Unicode MS" w:cs="OpenSymbol;Arial Unicode MS"/>
    </w:rPr>
  </w:style>
  <w:style w:type="character" w:styleId="WWCharLFO3LVL7">
    <w:name w:val="WW_CharLFO3LVL7"/>
    <w:qFormat/>
    <w:rPr>
      <w:rFonts w:ascii="Symbol" w:hAnsi="Symbol" w:cs="OpenSymbol;Arial Unicode MS"/>
    </w:rPr>
  </w:style>
  <w:style w:type="character" w:styleId="WWCharLFO3LVL8">
    <w:name w:val="WW_CharLFO3LVL8"/>
    <w:qFormat/>
    <w:rPr>
      <w:rFonts w:ascii="OpenSymbol;Arial Unicode MS" w:hAnsi="OpenSymbol;Arial Unicode MS" w:cs="OpenSymbol;Arial Unicode MS"/>
    </w:rPr>
  </w:style>
  <w:style w:type="character" w:styleId="WWCharLFO3LVL9">
    <w:name w:val="WW_CharLFO3LVL9"/>
    <w:qFormat/>
    <w:rPr>
      <w:rFonts w:ascii="OpenSymbol;Arial Unicode MS" w:hAnsi="OpenSymbol;Arial Unicode MS" w:cs="OpenSymbol;Arial Unicode MS"/>
    </w:rPr>
  </w:style>
  <w:style w:type="character" w:styleId="WWCharLFO4LVL1">
    <w:name w:val="WW_CharLFO4LVL1"/>
    <w:qFormat/>
    <w:rPr>
      <w:rFonts w:ascii="Symbol" w:hAnsi="Symbol" w:cs="Symbol"/>
      <w:lang w:val="pt-PT" w:eastAsia="en-US" w:bidi="ar-SA"/>
    </w:rPr>
  </w:style>
  <w:style w:type="character" w:styleId="WWCharLFO4LVL2">
    <w:name w:val="WW_CharLFO4LVL2"/>
    <w:qFormat/>
    <w:rPr>
      <w:rFonts w:ascii="OpenSymbol;Arial Unicode MS" w:hAnsi="OpenSymbol;Arial Unicode MS" w:cs="Arial MT"/>
      <w:w w:val="99"/>
      <w:sz w:val="18"/>
      <w:szCs w:val="18"/>
      <w:lang w:val="pt-PT" w:eastAsia="en-US" w:bidi="ar-SA"/>
    </w:rPr>
  </w:style>
  <w:style w:type="character" w:styleId="WWCharLFO4LVL3">
    <w:name w:val="WW_CharLFO4LVL3"/>
    <w:qFormat/>
    <w:rPr>
      <w:rFonts w:ascii="OpenSymbol;Arial Unicode MS" w:hAnsi="OpenSymbol;Arial Unicode MS" w:cs="Arial MT"/>
      <w:w w:val="99"/>
      <w:sz w:val="18"/>
      <w:szCs w:val="18"/>
      <w:lang w:val="pt-PT" w:eastAsia="en-US" w:bidi="ar-SA"/>
    </w:rPr>
  </w:style>
  <w:style w:type="character" w:styleId="WWCharLFO4LVL4">
    <w:name w:val="WW_CharLFO4LVL4"/>
    <w:qFormat/>
    <w:rPr>
      <w:rFonts w:ascii="Symbol" w:hAnsi="Symbol" w:cs="Symbol"/>
      <w:lang w:val="pt-PT" w:eastAsia="en-US" w:bidi="ar-SA"/>
    </w:rPr>
  </w:style>
  <w:style w:type="character" w:styleId="WWCharLFO4LVL5">
    <w:name w:val="WW_CharLFO4LVL5"/>
    <w:qFormat/>
    <w:rPr>
      <w:rFonts w:ascii="OpenSymbol;Arial Unicode MS" w:hAnsi="OpenSymbol;Arial Unicode MS" w:cs="Arial MT"/>
      <w:w w:val="99"/>
      <w:sz w:val="18"/>
      <w:szCs w:val="18"/>
      <w:lang w:val="pt-PT" w:eastAsia="en-US" w:bidi="ar-SA"/>
    </w:rPr>
  </w:style>
  <w:style w:type="character" w:styleId="WWCharLFO4LVL6">
    <w:name w:val="WW_CharLFO4LVL6"/>
    <w:qFormat/>
    <w:rPr>
      <w:rFonts w:ascii="OpenSymbol;Arial Unicode MS" w:hAnsi="OpenSymbol;Arial Unicode MS" w:cs="Arial MT"/>
      <w:w w:val="99"/>
      <w:sz w:val="18"/>
      <w:szCs w:val="18"/>
      <w:lang w:val="pt-PT" w:eastAsia="en-US" w:bidi="ar-SA"/>
    </w:rPr>
  </w:style>
  <w:style w:type="character" w:styleId="WWCharLFO4LVL7">
    <w:name w:val="WW_CharLFO4LVL7"/>
    <w:qFormat/>
    <w:rPr>
      <w:rFonts w:ascii="Symbol" w:hAnsi="Symbol" w:cs="Symbol"/>
      <w:lang w:val="pt-PT" w:eastAsia="en-US" w:bidi="ar-SA"/>
    </w:rPr>
  </w:style>
  <w:style w:type="character" w:styleId="WWCharLFO4LVL8">
    <w:name w:val="WW_CharLFO4LVL8"/>
    <w:qFormat/>
    <w:rPr>
      <w:rFonts w:ascii="OpenSymbol;Arial Unicode MS" w:hAnsi="OpenSymbol;Arial Unicode MS" w:cs="Arial MT"/>
      <w:w w:val="99"/>
      <w:sz w:val="18"/>
      <w:szCs w:val="18"/>
      <w:lang w:val="pt-PT" w:eastAsia="en-US" w:bidi="ar-SA"/>
    </w:rPr>
  </w:style>
  <w:style w:type="character" w:styleId="WWCharLFO4LVL9">
    <w:name w:val="WW_CharLFO4LVL9"/>
    <w:qFormat/>
    <w:rPr>
      <w:rFonts w:ascii="OpenSymbol;Arial Unicode MS" w:hAnsi="OpenSymbol;Arial Unicode MS" w:cs="Arial MT"/>
      <w:w w:val="99"/>
      <w:sz w:val="18"/>
      <w:szCs w:val="18"/>
      <w:lang w:val="pt-PT" w:eastAsia="en-US" w:bidi="ar-SA"/>
    </w:rPr>
  </w:style>
  <w:style w:type="character" w:styleId="WWCharLFO5LVL1">
    <w:name w:val="WW_CharLFO5LVL1"/>
    <w:qFormat/>
    <w:rPr>
      <w:rFonts w:ascii="Symbol" w:hAnsi="Symbol" w:cs="Symbol"/>
      <w:lang w:val="pt-PT" w:eastAsia="en-US" w:bidi="ar-SA"/>
    </w:rPr>
  </w:style>
  <w:style w:type="character" w:styleId="WWCharLFO5LVL2">
    <w:name w:val="WW_CharLFO5LVL2"/>
    <w:qFormat/>
    <w:rPr>
      <w:rFonts w:ascii="OpenSymbol;Arial Unicode MS" w:hAnsi="OpenSymbol;Arial Unicode MS" w:cs="Arial MT"/>
      <w:w w:val="99"/>
      <w:sz w:val="20"/>
      <w:szCs w:val="20"/>
      <w:lang w:val="pt-PT" w:eastAsia="en-US" w:bidi="ar-SA"/>
    </w:rPr>
  </w:style>
  <w:style w:type="character" w:styleId="WWCharLFO5LVL3">
    <w:name w:val="WW_CharLFO5LVL3"/>
    <w:qFormat/>
    <w:rPr>
      <w:rFonts w:ascii="OpenSymbol;Arial Unicode MS" w:hAnsi="OpenSymbol;Arial Unicode MS" w:cs="Arial MT"/>
      <w:w w:val="99"/>
      <w:sz w:val="20"/>
      <w:szCs w:val="20"/>
      <w:lang w:val="pt-PT" w:eastAsia="en-US" w:bidi="ar-SA"/>
    </w:rPr>
  </w:style>
  <w:style w:type="character" w:styleId="WWCharLFO5LVL4">
    <w:name w:val="WW_CharLFO5LVL4"/>
    <w:qFormat/>
    <w:rPr>
      <w:rFonts w:ascii="Symbol" w:hAnsi="Symbol" w:cs="Symbol"/>
      <w:lang w:val="pt-PT" w:eastAsia="en-US" w:bidi="ar-SA"/>
    </w:rPr>
  </w:style>
  <w:style w:type="character" w:styleId="WWCharLFO5LVL5">
    <w:name w:val="WW_CharLFO5LVL5"/>
    <w:qFormat/>
    <w:rPr>
      <w:rFonts w:ascii="OpenSymbol;Arial Unicode MS" w:hAnsi="OpenSymbol;Arial Unicode MS" w:cs="Arial MT"/>
      <w:w w:val="99"/>
      <w:sz w:val="20"/>
      <w:szCs w:val="20"/>
      <w:lang w:val="pt-PT" w:eastAsia="en-US" w:bidi="ar-SA"/>
    </w:rPr>
  </w:style>
  <w:style w:type="character" w:styleId="WWCharLFO5LVL6">
    <w:name w:val="WW_CharLFO5LVL6"/>
    <w:qFormat/>
    <w:rPr>
      <w:rFonts w:ascii="OpenSymbol;Arial Unicode MS" w:hAnsi="OpenSymbol;Arial Unicode MS" w:cs="Arial MT"/>
      <w:w w:val="99"/>
      <w:sz w:val="20"/>
      <w:szCs w:val="20"/>
      <w:lang w:val="pt-PT" w:eastAsia="en-US" w:bidi="ar-SA"/>
    </w:rPr>
  </w:style>
  <w:style w:type="character" w:styleId="WWCharLFO5LVL7">
    <w:name w:val="WW_CharLFO5LVL7"/>
    <w:qFormat/>
    <w:rPr>
      <w:rFonts w:ascii="Symbol" w:hAnsi="Symbol" w:cs="Symbol"/>
      <w:lang w:val="pt-PT" w:eastAsia="en-US" w:bidi="ar-SA"/>
    </w:rPr>
  </w:style>
  <w:style w:type="character" w:styleId="WWCharLFO5LVL8">
    <w:name w:val="WW_CharLFO5LVL8"/>
    <w:qFormat/>
    <w:rPr>
      <w:rFonts w:ascii="OpenSymbol;Arial Unicode MS" w:hAnsi="OpenSymbol;Arial Unicode MS" w:cs="Arial MT"/>
      <w:w w:val="99"/>
      <w:sz w:val="20"/>
      <w:szCs w:val="20"/>
      <w:lang w:val="pt-PT" w:eastAsia="en-US" w:bidi="ar-SA"/>
    </w:rPr>
  </w:style>
  <w:style w:type="character" w:styleId="WWCharLFO5LVL9">
    <w:name w:val="WW_CharLFO5LVL9"/>
    <w:qFormat/>
    <w:rPr>
      <w:rFonts w:ascii="OpenSymbol;Arial Unicode MS" w:hAnsi="OpenSymbol;Arial Unicode MS" w:cs="Arial MT"/>
      <w:w w:val="99"/>
      <w:sz w:val="20"/>
      <w:szCs w:val="20"/>
      <w:lang w:val="pt-PT" w:eastAsia="en-US" w:bidi="ar-SA"/>
    </w:rPr>
  </w:style>
  <w:style w:type="character" w:styleId="WWCharLFO6LVL1">
    <w:name w:val="WW_CharLFO6LVL1"/>
    <w:qFormat/>
    <w:rPr>
      <w:rFonts w:ascii="OpenSymbol" w:hAnsi="OpenSymbol" w:eastAsia="OpenSymbol" w:cs="OpenSymbol"/>
    </w:rPr>
  </w:style>
  <w:style w:type="character" w:styleId="WWCharLFO6LVL2">
    <w:name w:val="WW_CharLFO6LVL2"/>
    <w:qFormat/>
    <w:rPr>
      <w:rFonts w:ascii="Arial MT" w:hAnsi="Arial MT" w:eastAsia="Arial MT" w:cs="Arial MT"/>
      <w:w w:val="96"/>
      <w:sz w:val="20"/>
      <w:szCs w:val="20"/>
      <w:lang w:val="pt-PT" w:eastAsia="en-US" w:bidi="ar-SA"/>
    </w:rPr>
  </w:style>
  <w:style w:type="character" w:styleId="WWCharLFO6LVL3">
    <w:name w:val="WW_CharLFO6LVL3"/>
    <w:qFormat/>
    <w:rPr>
      <w:rFonts w:ascii="Arial MT" w:hAnsi="Arial MT" w:eastAsia="Arial MT" w:cs="Arial MT"/>
      <w:w w:val="96"/>
      <w:sz w:val="20"/>
      <w:szCs w:val="20"/>
      <w:lang w:val="pt-PT" w:eastAsia="en-US" w:bidi="ar-SA"/>
    </w:rPr>
  </w:style>
  <w:style w:type="character" w:styleId="WWCharLFO6LVL4">
    <w:name w:val="WW_CharLFO6LVL4"/>
    <w:qFormat/>
    <w:rPr>
      <w:rFonts w:ascii="Symbol" w:hAnsi="Symbol" w:cs="Symbol"/>
      <w:lang w:val="pt-PT" w:eastAsia="en-US" w:bidi="ar-SA"/>
    </w:rPr>
  </w:style>
  <w:style w:type="character" w:styleId="WWCharLFO6LVL5">
    <w:name w:val="WW_CharLFO6LVL5"/>
    <w:qFormat/>
    <w:rPr>
      <w:rFonts w:ascii="Symbol" w:hAnsi="Symbol" w:cs="Symbol"/>
      <w:lang w:val="pt-PT" w:eastAsia="en-US" w:bidi="ar-SA"/>
    </w:rPr>
  </w:style>
  <w:style w:type="character" w:styleId="WWCharLFO6LVL6">
    <w:name w:val="WW_CharLFO6LVL6"/>
    <w:qFormat/>
    <w:rPr>
      <w:rFonts w:ascii="Symbol" w:hAnsi="Symbol" w:cs="Symbol"/>
      <w:lang w:val="pt-PT" w:eastAsia="en-US" w:bidi="ar-SA"/>
    </w:rPr>
  </w:style>
  <w:style w:type="character" w:styleId="WWCharLFO6LVL7">
    <w:name w:val="WW_CharLFO6LVL7"/>
    <w:qFormat/>
    <w:rPr>
      <w:rFonts w:ascii="Symbol" w:hAnsi="Symbol" w:cs="Symbol"/>
      <w:lang w:val="pt-PT" w:eastAsia="en-US" w:bidi="ar-SA"/>
    </w:rPr>
  </w:style>
  <w:style w:type="character" w:styleId="WWCharLFO6LVL8">
    <w:name w:val="WW_CharLFO6LVL8"/>
    <w:qFormat/>
    <w:rPr>
      <w:rFonts w:ascii="Symbol" w:hAnsi="Symbol" w:cs="Symbol"/>
      <w:lang w:val="pt-PT" w:eastAsia="en-US" w:bidi="ar-SA"/>
    </w:rPr>
  </w:style>
  <w:style w:type="character" w:styleId="WWCharLFO6LVL9">
    <w:name w:val="WW_CharLFO6LVL9"/>
    <w:qFormat/>
    <w:rPr>
      <w:rFonts w:ascii="Symbol" w:hAnsi="Symbol" w:cs="Symbol"/>
      <w:lang w:val="pt-PT" w:eastAsia="en-US" w:bidi="ar-SA"/>
    </w:rPr>
  </w:style>
  <w:style w:type="character" w:styleId="WWCharLFO7LVL1">
    <w:name w:val="WW_CharLFO7LVL1"/>
    <w:qFormat/>
    <w:rPr>
      <w:u w:val="none"/>
    </w:rPr>
  </w:style>
  <w:style w:type="character" w:styleId="WWCharLFO7LVL2">
    <w:name w:val="WW_CharLFO7LVL2"/>
    <w:qFormat/>
    <w:rPr>
      <w:u w:val="none"/>
    </w:rPr>
  </w:style>
  <w:style w:type="character" w:styleId="WWCharLFO7LVL3">
    <w:name w:val="WW_CharLFO7LVL3"/>
    <w:qFormat/>
    <w:rPr>
      <w:u w:val="none"/>
    </w:rPr>
  </w:style>
  <w:style w:type="character" w:styleId="WWCharLFO7LVL4">
    <w:name w:val="WW_CharLFO7LVL4"/>
    <w:qFormat/>
    <w:rPr>
      <w:u w:val="none"/>
    </w:rPr>
  </w:style>
  <w:style w:type="character" w:styleId="WWCharLFO7LVL5">
    <w:name w:val="WW_CharLFO7LVL5"/>
    <w:qFormat/>
    <w:rPr>
      <w:u w:val="none"/>
    </w:rPr>
  </w:style>
  <w:style w:type="character" w:styleId="WWCharLFO7LVL6">
    <w:name w:val="WW_CharLFO7LVL6"/>
    <w:qFormat/>
    <w:rPr>
      <w:u w:val="none"/>
    </w:rPr>
  </w:style>
  <w:style w:type="character" w:styleId="WWCharLFO7LVL7">
    <w:name w:val="WW_CharLFO7LVL7"/>
    <w:qFormat/>
    <w:rPr>
      <w:u w:val="none"/>
    </w:rPr>
  </w:style>
  <w:style w:type="character" w:styleId="WWCharLFO7LVL8">
    <w:name w:val="WW_CharLFO7LVL8"/>
    <w:qFormat/>
    <w:rPr>
      <w:u w:val="none"/>
    </w:rPr>
  </w:style>
  <w:style w:type="character" w:styleId="WWCharLFO7LVL9">
    <w:name w:val="WW_CharLFO7LVL9"/>
    <w:qFormat/>
    <w:rPr>
      <w:u w:val="none"/>
    </w:rPr>
  </w:style>
  <w:style w:type="character" w:styleId="WWCharLFO12LVL1">
    <w:name w:val="WW_CharLFO12LVL1"/>
    <w:qFormat/>
    <w:rPr>
      <w:rFonts w:ascii="OpenSymbol" w:hAnsi="OpenSymbol" w:eastAsia="OpenSymbol" w:cs="OpenSymbol"/>
    </w:rPr>
  </w:style>
  <w:style w:type="character" w:styleId="WWCharLFO12LVL2">
    <w:name w:val="WW_CharLFO12LVL2"/>
    <w:qFormat/>
    <w:rPr>
      <w:rFonts w:ascii="OpenSymbol" w:hAnsi="OpenSymbol" w:eastAsia="OpenSymbol" w:cs="OpenSymbol"/>
    </w:rPr>
  </w:style>
  <w:style w:type="character" w:styleId="WWCharLFO12LVL3">
    <w:name w:val="WW_CharLFO12LVL3"/>
    <w:qFormat/>
    <w:rPr>
      <w:rFonts w:ascii="OpenSymbol" w:hAnsi="OpenSymbol" w:eastAsia="OpenSymbol" w:cs="OpenSymbol"/>
    </w:rPr>
  </w:style>
  <w:style w:type="character" w:styleId="WWCharLFO12LVL4">
    <w:name w:val="WW_CharLFO12LVL4"/>
    <w:qFormat/>
    <w:rPr>
      <w:rFonts w:ascii="OpenSymbol" w:hAnsi="OpenSymbol" w:eastAsia="OpenSymbol" w:cs="OpenSymbol"/>
    </w:rPr>
  </w:style>
  <w:style w:type="character" w:styleId="WWCharLFO12LVL5">
    <w:name w:val="WW_CharLFO12LVL5"/>
    <w:qFormat/>
    <w:rPr>
      <w:rFonts w:ascii="OpenSymbol" w:hAnsi="OpenSymbol" w:eastAsia="OpenSymbol" w:cs="OpenSymbol"/>
    </w:rPr>
  </w:style>
  <w:style w:type="character" w:styleId="WWCharLFO12LVL6">
    <w:name w:val="WW_CharLFO12LVL6"/>
    <w:qFormat/>
    <w:rPr>
      <w:rFonts w:ascii="OpenSymbol" w:hAnsi="OpenSymbol" w:eastAsia="OpenSymbol" w:cs="OpenSymbol"/>
    </w:rPr>
  </w:style>
  <w:style w:type="character" w:styleId="WWCharLFO12LVL7">
    <w:name w:val="WW_CharLFO12LVL7"/>
    <w:qFormat/>
    <w:rPr>
      <w:rFonts w:ascii="OpenSymbol" w:hAnsi="OpenSymbol" w:eastAsia="OpenSymbol" w:cs="OpenSymbol"/>
    </w:rPr>
  </w:style>
  <w:style w:type="character" w:styleId="WWCharLFO12LVL8">
    <w:name w:val="WW_CharLFO12LVL8"/>
    <w:qFormat/>
    <w:rPr>
      <w:rFonts w:ascii="OpenSymbol" w:hAnsi="OpenSymbol" w:eastAsia="OpenSymbol" w:cs="OpenSymbol"/>
    </w:rPr>
  </w:style>
  <w:style w:type="character" w:styleId="WWCharLFO12LVL9">
    <w:name w:val="WW_CharLFO12LVL9"/>
    <w:qFormat/>
    <w:rPr>
      <w:rFonts w:ascii="OpenSymbol" w:hAnsi="OpenSymbol" w:eastAsia="OpenSymbol" w:cs="OpenSymbol"/>
    </w:rPr>
  </w:style>
  <w:style w:type="character" w:styleId="WWCharLFO13LVL1">
    <w:name w:val="WW_CharLFO13LVL1"/>
    <w:qFormat/>
    <w:rPr>
      <w:rFonts w:ascii="OpenSymbol" w:hAnsi="OpenSymbol" w:eastAsia="OpenSymbol" w:cs="OpenSymbol"/>
    </w:rPr>
  </w:style>
  <w:style w:type="character" w:styleId="WWCharLFO13LVL2">
    <w:name w:val="WW_CharLFO13LVL2"/>
    <w:qFormat/>
    <w:rPr>
      <w:rFonts w:ascii="OpenSymbol" w:hAnsi="OpenSymbol" w:eastAsia="OpenSymbol" w:cs="OpenSymbol"/>
    </w:rPr>
  </w:style>
  <w:style w:type="character" w:styleId="WWCharLFO13LVL3">
    <w:name w:val="WW_CharLFO13LVL3"/>
    <w:qFormat/>
    <w:rPr>
      <w:rFonts w:ascii="OpenSymbol" w:hAnsi="OpenSymbol" w:eastAsia="OpenSymbol" w:cs="OpenSymbol"/>
    </w:rPr>
  </w:style>
  <w:style w:type="character" w:styleId="WWCharLFO13LVL4">
    <w:name w:val="WW_CharLFO13LVL4"/>
    <w:qFormat/>
    <w:rPr>
      <w:rFonts w:ascii="OpenSymbol" w:hAnsi="OpenSymbol" w:eastAsia="OpenSymbol" w:cs="OpenSymbol"/>
    </w:rPr>
  </w:style>
  <w:style w:type="character" w:styleId="WWCharLFO13LVL5">
    <w:name w:val="WW_CharLFO13LVL5"/>
    <w:qFormat/>
    <w:rPr>
      <w:rFonts w:ascii="OpenSymbol" w:hAnsi="OpenSymbol" w:eastAsia="OpenSymbol" w:cs="OpenSymbol"/>
    </w:rPr>
  </w:style>
  <w:style w:type="character" w:styleId="WWCharLFO13LVL6">
    <w:name w:val="WW_CharLFO13LVL6"/>
    <w:qFormat/>
    <w:rPr>
      <w:rFonts w:ascii="OpenSymbol" w:hAnsi="OpenSymbol" w:eastAsia="OpenSymbol" w:cs="OpenSymbol"/>
    </w:rPr>
  </w:style>
  <w:style w:type="character" w:styleId="WWCharLFO13LVL7">
    <w:name w:val="WW_CharLFO13LVL7"/>
    <w:qFormat/>
    <w:rPr>
      <w:rFonts w:ascii="OpenSymbol" w:hAnsi="OpenSymbol" w:eastAsia="OpenSymbol" w:cs="OpenSymbol"/>
    </w:rPr>
  </w:style>
  <w:style w:type="character" w:styleId="WWCharLFO13LVL8">
    <w:name w:val="WW_CharLFO13LVL8"/>
    <w:qFormat/>
    <w:rPr>
      <w:rFonts w:ascii="OpenSymbol" w:hAnsi="OpenSymbol" w:eastAsia="OpenSymbol" w:cs="OpenSymbol"/>
    </w:rPr>
  </w:style>
  <w:style w:type="character" w:styleId="WWCharLFO13LVL9">
    <w:name w:val="WW_CharLFO13LVL9"/>
    <w:qFormat/>
    <w:rPr>
      <w:rFonts w:ascii="OpenSymbol" w:hAnsi="OpenSymbol" w:eastAsia="OpenSymbol" w:cs="OpenSymbol"/>
    </w:rPr>
  </w:style>
  <w:style w:type="paragraph" w:styleId="Ttulo">
    <w:name w:val="Título"/>
    <w:basedOn w:val="Normal"/>
    <w:next w:val="BodyText"/>
    <w:qFormat/>
    <w:pPr>
      <w:keepNext w:val="true"/>
      <w:suppressAutoHyphens w:val="true"/>
      <w:spacing w:before="240" w:after="120"/>
    </w:pPr>
    <w:rPr>
      <w:rFonts w:ascii="Liberation Sans" w:hAnsi="Liberation Sans" w:eastAsia="Microsoft YaHei"/>
      <w:sz w:val="28"/>
      <w:szCs w:val="28"/>
    </w:rPr>
  </w:style>
  <w:style w:type="paragraph" w:styleId="BodyText">
    <w:name w:val="Body Text"/>
    <w:basedOn w:val="Normal"/>
    <w:pPr>
      <w:suppressAutoHyphens w:val="true"/>
      <w:spacing w:lineRule="auto" w:line="276" w:before="0" w:after="140"/>
    </w:pPr>
    <w:rPr/>
  </w:style>
  <w:style w:type="paragraph" w:styleId="Normal1">
    <w:name w:val="Normal1"/>
    <w:qFormat/>
    <w:pPr>
      <w:keepNext w:val="false"/>
      <w:keepLines w:val="false"/>
      <w:pageBreakBefore w:val="false"/>
      <w:widowControl w:val="false"/>
      <w:pBdr/>
      <w:shd w:fill="auto" w:val="clear"/>
      <w:suppressAutoHyphens w:val="true"/>
      <w:kinsoku w:val="true"/>
      <w:overflowPunct w:val="true"/>
      <w:autoSpaceDE w:val="true"/>
      <w:bidi w:val="0"/>
      <w:snapToGrid w:val="true"/>
      <w:spacing w:before="0" w:after="160" w:lineRule="auto" w:line="240"/>
      <w:jc w:val="start"/>
    </w:pPr>
    <w:rPr>
      <w:rFonts w:ascii="Liberation Serif" w:hAnsi="Liberation Serif" w:eastAsia="NSimSun" w:cs="Lucida Sans"/>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pt-BR" w:eastAsia="zh-CN" w:bidi="hi-IN"/>
    </w:rPr>
  </w:style>
  <w:style w:type="paragraph" w:styleId="List">
    <w:name w:val="List"/>
    <w:basedOn w:val="BodyText"/>
    <w:pPr>
      <w:suppressAutoHyphens w:val="true"/>
    </w:pPr>
    <w:rPr/>
  </w:style>
  <w:style w:type="paragraph" w:styleId="Caption">
    <w:name w:val="caption"/>
    <w:basedOn w:val="Normal"/>
    <w:qFormat/>
    <w:pPr>
      <w:suppressLineNumbers/>
      <w:suppressAutoHyphens w:val="true"/>
      <w:spacing w:before="120" w:after="120"/>
    </w:pPr>
    <w:rPr>
      <w:i/>
      <w:iCs/>
    </w:rPr>
  </w:style>
  <w:style w:type="paragraph" w:styleId="ndice">
    <w:name w:val="Índice"/>
    <w:basedOn w:val="Normal"/>
    <w:qFormat/>
    <w:pPr>
      <w:suppressLineNumbers/>
      <w:suppressAutoHyphens w:val="true"/>
    </w:pPr>
    <w:rPr/>
  </w:style>
  <w:style w:type="paragraph" w:styleId="Recuodecorpodetexto21">
    <w:name w:val="Recuo de corpo de texto 21"/>
    <w:basedOn w:val="Normal"/>
    <w:qFormat/>
    <w:pPr>
      <w:suppressAutoHyphens w:val="true"/>
      <w:ind w:firstLine="851" w:start="0" w:end="0"/>
      <w:jc w:val="both"/>
    </w:pPr>
    <w:rPr>
      <w:rFonts w:ascii="Arial" w:hAnsi="Arial" w:eastAsia="Arial" w:cs="Arial"/>
      <w:sz w:val="32"/>
    </w:rPr>
  </w:style>
  <w:style w:type="paragraph" w:styleId="LO-Normal3">
    <w:name w:val="LO-Normal3"/>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start"/>
    </w:pPr>
    <w:rPr>
      <w:rFonts w:ascii="TimesNewRoman;'''Times New Rom" w:hAnsi="TimesNewRoman;'''Times New Rom" w:eastAsia="TimesNewRoman;'''Times New Rom" w:cs="TimesNewRoman;'''Times New Rom"/>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pt-BR" w:eastAsia="zh-CN" w:bidi="hi-IN"/>
    </w:rPr>
  </w:style>
  <w:style w:type="paragraph" w:styleId="Nivel2">
    <w:name w:val="Nivel 2"/>
    <w:basedOn w:val="Normal"/>
    <w:qFormat/>
    <w:pPr>
      <w:suppressAutoHyphens w:val="true"/>
      <w:spacing w:lineRule="auto" w:line="276" w:before="120" w:after="120"/>
      <w:jc w:val="both"/>
    </w:pPr>
    <w:rPr>
      <w:rFonts w:ascii="Arial" w:hAnsi="Arial" w:eastAsia="Arial" w:cs="Arial"/>
      <w:color w:val="000000"/>
      <w:sz w:val="20"/>
      <w:szCs w:val="20"/>
    </w:rPr>
  </w:style>
  <w:style w:type="paragraph" w:styleId="Corpodetexto21">
    <w:name w:val="Corpo de texto 21"/>
    <w:basedOn w:val="Normal"/>
    <w:qFormat/>
    <w:pPr>
      <w:tabs>
        <w:tab w:val="clear" w:pos="709"/>
      </w:tabs>
      <w:suppressAutoHyphens w:val="true"/>
      <w:ind w:hanging="0" w:start="3402" w:end="0"/>
      <w:jc w:val="both"/>
    </w:pPr>
    <w:rPr>
      <w:rFonts w:ascii="Arial" w:hAnsi="Arial" w:eastAsia="Arial" w:cs="Arial"/>
      <w:szCs w:val="20"/>
    </w:rPr>
  </w:style>
  <w:style w:type="paragraph" w:styleId="LO-Normal5">
    <w:name w:val="LO-Normal5"/>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start"/>
    </w:pPr>
    <w:rPr>
      <w:rFonts w:eastAsia="Arial Unicode MS" w:cs="Liberation Serif" w:ascii="Liberation Serif" w:hAnsi="Liberation Serif"/>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pt-BR" w:eastAsia="zh-CN" w:bidi="hi-IN"/>
    </w:rPr>
  </w:style>
  <w:style w:type="paragraph" w:styleId="PargrafodaLista">
    <w:name w:val="Parágrafo da Lista"/>
    <w:basedOn w:val="Normal"/>
    <w:qFormat/>
    <w:pPr>
      <w:tabs>
        <w:tab w:val="clear" w:pos="709"/>
      </w:tabs>
      <w:suppressAutoHyphens w:val="true"/>
      <w:spacing w:lineRule="auto" w:line="276" w:before="0" w:after="200"/>
      <w:ind w:hanging="0" w:start="720" w:end="0"/>
    </w:pPr>
    <w:rPr>
      <w:rFonts w:ascii="Calibri" w:hAnsi="Calibri" w:eastAsia="Calibri" w:cs="Calibri"/>
      <w:sz w:val="22"/>
      <w:szCs w:val="22"/>
    </w:rPr>
  </w:style>
  <w:style w:type="paragraph" w:styleId="Nivel3">
    <w:name w:val="Nivel 3"/>
    <w:basedOn w:val="Normal"/>
    <w:qFormat/>
    <w:pPr>
      <w:suppressAutoHyphens w:val="true"/>
      <w:spacing w:lineRule="auto" w:line="276" w:before="120" w:after="120"/>
      <w:jc w:val="both"/>
    </w:pPr>
    <w:rPr>
      <w:rFonts w:ascii="Arial" w:hAnsi="Arial" w:eastAsia="Arial" w:cs="Arial"/>
      <w:color w:val="000000"/>
      <w:sz w:val="20"/>
      <w:szCs w:val="20"/>
    </w:rPr>
  </w:style>
  <w:style w:type="paragraph" w:styleId="Textopadro">
    <w:name w:val="Texto padrão"/>
    <w:basedOn w:val="Normal"/>
    <w:qFormat/>
    <w:pPr>
      <w:suppressAutoHyphens w:val="true"/>
    </w:pPr>
    <w:rPr>
      <w:lang w:val="en-US"/>
    </w:rPr>
  </w:style>
  <w:style w:type="paragraph" w:styleId="Cabealhoerodap">
    <w:name w:val="Cabeçalho e rodapé"/>
    <w:basedOn w:val="Normal"/>
    <w:qFormat/>
    <w:pPr>
      <w:suppressLineNumbers/>
      <w:tabs>
        <w:tab w:val="clear" w:pos="709"/>
        <w:tab w:val="center" w:pos="4819" w:leader="none"/>
        <w:tab w:val="right" w:pos="9638" w:leader="none"/>
      </w:tabs>
      <w:suppressAutoHyphens w:val="true"/>
    </w:pPr>
    <w:rPr/>
  </w:style>
  <w:style w:type="paragraph" w:styleId="Header">
    <w:name w:val="header"/>
    <w:basedOn w:val="Cabealhoerodap"/>
    <w:pPr>
      <w:suppressLineNumbers/>
    </w:pPr>
    <w:rPr/>
  </w:style>
  <w:style w:type="paragraph" w:styleId="Footer">
    <w:name w:val="footer"/>
    <w:basedOn w:val="Cabealhoerodap"/>
    <w:pPr>
      <w:suppressLineNumbers/>
    </w:pPr>
    <w:rPr/>
  </w:style>
  <w:style w:type="paragraph" w:styleId="Nivel1Edital">
    <w:name w:val="Nivel 1 Edital"/>
    <w:basedOn w:val="LO-Normal5"/>
    <w:qFormat/>
    <w:pPr>
      <w:widowControl w:val="false"/>
      <w:suppressAutoHyphens w:val="true"/>
      <w:spacing w:before="57" w:after="57"/>
      <w:jc w:val="both"/>
      <w:textAlignment w:val="auto"/>
    </w:pPr>
    <w:rPr>
      <w:rFonts w:ascii="Arial" w:hAnsi="Arial" w:eastAsia="Arial" w:cs="Arial"/>
      <w:sz w:val="22"/>
    </w:rPr>
  </w:style>
  <w:style w:type="paragraph" w:styleId="Nivel2Edital">
    <w:name w:val="Nivel 2 Edital"/>
    <w:basedOn w:val="Nivel1Edital"/>
    <w:qFormat/>
    <w:pPr>
      <w:suppressAutoHyphens w:val="true"/>
    </w:pPr>
    <w:rPr/>
  </w:style>
  <w:style w:type="paragraph" w:styleId="Nivel3Edital">
    <w:name w:val="Nivel 3 Edital"/>
    <w:basedOn w:val="Nivel2Edital"/>
    <w:qFormat/>
    <w:pPr>
      <w:suppressAutoHyphens w:val="true"/>
    </w:pPr>
    <w:rPr/>
  </w:style>
  <w:style w:type="paragraph" w:styleId="LO-Normal">
    <w:name w:val="LO-Normal"/>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before="0" w:after="0"/>
      <w:jc w:val="start"/>
    </w:pPr>
    <w:rPr>
      <w:rFonts w:eastAsia="Arial Unicode MS" w:cs="Liberation Serif" w:ascii="Liberation Serif" w:hAnsi="Liberation Serif"/>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pt-BR" w:eastAsia="zh-CN" w:bidi="hi-IN"/>
    </w:rPr>
  </w:style>
  <w:style w:type="paragraph" w:styleId="Avanodecorpodetexto2">
    <w:name w:val="Avanço de corpo de texto 2"/>
    <w:basedOn w:val="Normal"/>
    <w:qFormat/>
    <w:pPr>
      <w:tabs>
        <w:tab w:val="clear" w:pos="709"/>
      </w:tabs>
      <w:suppressAutoHyphens w:val="true"/>
      <w:ind w:hanging="10" w:start="730" w:end="0"/>
    </w:pPr>
    <w:rPr>
      <w:rFonts w:ascii="Arial" w:hAnsi="Arial" w:eastAsia="Arial" w:cs="Arial"/>
      <w:b/>
      <w:color w:val="000000"/>
      <w:sz w:val="20"/>
    </w:rPr>
  </w:style>
  <w:style w:type="paragraph" w:styleId="Standard">
    <w:name w:val="Standard"/>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start"/>
    </w:pPr>
    <w:rPr>
      <w:rFonts w:ascii="Calibri" w:hAnsi="Calibri" w:eastAsia="SimSun;宋体" w:cs="Calibri"/>
      <w:b w:val="false"/>
      <w:bCs w:val="false"/>
      <w:i w:val="false"/>
      <w:iCs w:val="false"/>
      <w:caps w:val="false"/>
      <w:smallCaps w:val="false"/>
      <w:strike w:val="false"/>
      <w:dstrike w:val="false"/>
      <w:outline w:val="false"/>
      <w:emboss w:val="false"/>
      <w:imprint w:val="false"/>
      <w:color w:val="00000A"/>
      <w:spacing w:val="0"/>
      <w:w w:val="100"/>
      <w:kern w:val="2"/>
      <w:position w:val="0"/>
      <w:sz w:val="20"/>
      <w:sz w:val="20"/>
      <w:szCs w:val="22"/>
      <w:u w:val="none"/>
      <w:shd w:fill="auto" w:val="clear"/>
      <w:vertAlign w:val="baseline"/>
      <w:em w:val="none"/>
      <w:lang w:bidi="ar-SA" w:val="pt-BR" w:eastAsia="zh-CN"/>
    </w:rPr>
  </w:style>
  <w:style w:type="paragraph" w:styleId="Textoprformatado">
    <w:name w:val="Texto préformatado"/>
    <w:basedOn w:val="Normal"/>
    <w:qFormat/>
    <w:pPr>
      <w:suppressAutoHyphens w:val="true"/>
    </w:pPr>
    <w:rPr>
      <w:rFonts w:ascii="Cumberland AMT" w:hAnsi="Cumberland AMT" w:eastAsia="Cumberland AMT" w:cs="Cumberland AMT"/>
    </w:rPr>
  </w:style>
  <w:style w:type="paragraph" w:styleId="Cabealho11">
    <w:name w:val="Cabeçalho 11"/>
    <w:basedOn w:val="Normal"/>
    <w:next w:val="Normal"/>
    <w:qFormat/>
    <w:pPr>
      <w:keepNext w:val="true"/>
      <w:keepLines/>
      <w:suppressAutoHyphens w:val="true"/>
      <w:spacing w:before="480" w:after="120"/>
    </w:pPr>
    <w:rPr>
      <w:b/>
      <w:color w:val="00000A"/>
      <w:sz w:val="48"/>
      <w:szCs w:val="48"/>
    </w:rPr>
  </w:style>
  <w:style w:type="paragraph" w:styleId="Nivel01">
    <w:name w:val="Nivel 01"/>
    <w:basedOn w:val="Cabealho11"/>
    <w:next w:val="Normal"/>
    <w:qFormat/>
    <w:pPr>
      <w:numPr>
        <w:ilvl w:val="0"/>
        <w:numId w:val="2"/>
      </w:numPr>
      <w:tabs>
        <w:tab w:val="clear" w:pos="709"/>
        <w:tab w:val="left" w:pos="-1099" w:leader="none"/>
      </w:tabs>
      <w:suppressAutoHyphens w:val="true"/>
      <w:spacing w:lineRule="auto" w:line="276" w:before="120" w:after="0"/>
      <w:jc w:val="both"/>
    </w:pPr>
    <w:rPr>
      <w:rFonts w:ascii="Arial" w:hAnsi="Arial" w:eastAsia="Arial" w:cs="Arial"/>
      <w:sz w:val="20"/>
      <w:szCs w:val="20"/>
    </w:rPr>
  </w:style>
  <w:style w:type="paragraph" w:styleId="Contedodatabela">
    <w:name w:val="Conteúdo da tabela"/>
    <w:basedOn w:val="Normal"/>
    <w:qFormat/>
    <w:pPr>
      <w:suppressLineNumbers/>
      <w:suppressAutoHyphens w:val="true"/>
    </w:pPr>
    <w:rPr/>
  </w:style>
  <w:style w:type="paragraph" w:styleId="Corpodetexto22">
    <w:name w:val="Corpo de texto 22"/>
    <w:basedOn w:val="Normal"/>
    <w:qFormat/>
    <w:pPr>
      <w:suppressAutoHyphens w:val="true"/>
      <w:jc w:val="both"/>
    </w:pPr>
    <w:rPr>
      <w:rFonts w:ascii="Arial" w:hAnsi="Arial" w:eastAsia="Arial" w:cs="Arial"/>
      <w:color w:val="000000"/>
      <w:sz w:val="23"/>
    </w:rPr>
  </w:style>
  <w:style w:type="paragraph" w:styleId="Default">
    <w:name w:val="Default"/>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0"/>
      <w:jc w:val="start"/>
    </w:pPr>
    <w:rPr>
      <w:rFonts w:ascii="Calibri" w:hAnsi="Calibri" w:eastAsia="Calibri" w:cs="Calibri"/>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bidi="ar-SA" w:val="pt-BR" w:eastAsia="zh-CN"/>
    </w:rPr>
  </w:style>
  <w:style w:type="paragraph" w:styleId="Nivel4">
    <w:name w:val="Nivel 4"/>
    <w:basedOn w:val="Nivel3"/>
    <w:qFormat/>
    <w:pPr>
      <w:tabs>
        <w:tab w:val="clear" w:pos="709"/>
      </w:tabs>
      <w:suppressAutoHyphens w:val="true"/>
      <w:ind w:hanging="0" w:start="851" w:end="0"/>
    </w:pPr>
    <w:rPr>
      <w:color w:val="00000A"/>
    </w:rPr>
  </w:style>
  <w:style w:type="paragraph" w:styleId="Nvel4-R">
    <w:name w:val="Nível 4-R"/>
    <w:basedOn w:val="Nivel4"/>
    <w:qFormat/>
    <w:pPr>
      <w:suppressAutoHyphens w:val="true"/>
      <w:ind w:hanging="648" w:start="2491" w:end="0"/>
    </w:pPr>
    <w:rPr>
      <w:i/>
      <w:iCs/>
      <w:color w:val="FF0000"/>
    </w:rPr>
  </w:style>
  <w:style w:type="paragraph" w:styleId="Nvel2-Red">
    <w:name w:val="Nível 2 -Red"/>
    <w:basedOn w:val="Nivel2"/>
    <w:qFormat/>
    <w:pPr>
      <w:suppressAutoHyphens w:val="true"/>
    </w:pPr>
    <w:rPr>
      <w:i/>
      <w:iCs/>
      <w:color w:val="FF0000"/>
    </w:rPr>
  </w:style>
  <w:style w:type="paragraph" w:styleId="Nvel3-R">
    <w:name w:val="Nível 3-R"/>
    <w:basedOn w:val="Nivel3"/>
    <w:qFormat/>
    <w:pPr>
      <w:tabs>
        <w:tab w:val="clear" w:pos="709"/>
      </w:tabs>
      <w:suppressAutoHyphens w:val="true"/>
      <w:ind w:hanging="504" w:start="3198" w:end="0"/>
    </w:pPr>
    <w:rPr>
      <w:i/>
      <w:iCs/>
      <w:color w:val="FF0000"/>
    </w:rPr>
  </w:style>
  <w:style w:type="paragraph" w:styleId="Contedodalista">
    <w:name w:val="Conteúdo da lista"/>
    <w:basedOn w:val="Normal"/>
    <w:qFormat/>
    <w:pPr>
      <w:tabs>
        <w:tab w:val="clear" w:pos="709"/>
      </w:tabs>
      <w:suppressAutoHyphens w:val="true"/>
      <w:ind w:hanging="0" w:start="567" w:end="0"/>
    </w:pPr>
    <w:rPr/>
  </w:style>
  <w:style w:type="numbering" w:styleId="WW8Num2">
    <w:name w:val="WW8Num2"/>
    <w:qFormat/>
  </w:style>
  <w:style w:type="numbering" w:styleId="WW8Num6">
    <w:name w:val="WW8Num6"/>
    <w:qFormat/>
  </w:style>
  <w:style w:type="numbering" w:styleId="WW8Num7">
    <w:name w:val="WW8Num7"/>
    <w:qFormat/>
  </w:style>
  <w:style w:type="numbering" w:styleId="WW8Num4">
    <w:name w:val="WW8Num4"/>
    <w:qFormat/>
  </w:style>
  <w:style w:type="numbering" w:styleId="WW8Num5">
    <w:name w:val="WW8Num5"/>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planalto.gov.br/ccivil_03/_ato2015-2018/2018/lei/l13709.htm" TargetMode="External"/><Relationship Id="rId3" Type="http://schemas.openxmlformats.org/officeDocument/2006/relationships/hyperlink" Target="https://www.planalto.gov.br/ccivil_03/_ato2015-2018/2018/lei/l13709.htm" TargetMode="External"/><Relationship Id="rId4" Type="http://schemas.openxmlformats.org/officeDocument/2006/relationships/hyperlink" Target="https://www.planalto.gov.br/ccivil_03/_ato2015-2018/2018/lei/l13709.htm" TargetMode="External"/><Relationship Id="rId5" Type="http://schemas.openxmlformats.org/officeDocument/2006/relationships/hyperlink" Target="http://www.planalto.gov.br/ccivil_03/_ato2019-2022/2021/lei/L14133.htm" TargetMode="External"/><Relationship Id="rId6" Type="http://schemas.openxmlformats.org/officeDocument/2006/relationships/hyperlink" Target="http://www.planalto.gov.br/ccivil_03/_ato2019-2022/2021/lei/L14133.htm" TargetMode="External"/><Relationship Id="rId7" Type="http://schemas.openxmlformats.org/officeDocument/2006/relationships/hyperlink" Target="https://www.planalto.gov.br/ccivil_03/_ato2011-2014/2013/lei/l12846.htm" TargetMode="External"/><Relationship Id="rId8" Type="http://schemas.openxmlformats.org/officeDocument/2006/relationships/hyperlink" Target="http://www.planalto.gov.br/ccivil_03/_ato2019-2022/2021/lei/L14133.htm" TargetMode="External"/><Relationship Id="rId9"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_ato2019-2022/2021/lei/L14133.htm" TargetMode="External"/><Relationship Id="rId11" Type="http://schemas.openxmlformats.org/officeDocument/2006/relationships/hyperlink" Target="http://www.planalto.gov.br/ccivil_03/_ato2019-2022/2021/lei/L14133.htm" TargetMode="External"/><Relationship Id="rId12"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leis/l8078compilado.htm" TargetMode="External"/><Relationship Id="rId15"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_ato2015-2018/2018/lei/l13709.htm" TargetMode="External"/><Relationship Id="rId18" Type="http://schemas.openxmlformats.org/officeDocument/2006/relationships/hyperlink" Target="https://www.planalto.gov.br/ccivil_03/_ato2015-2018/2018/lei/l13709.htm" TargetMode="External"/><Relationship Id="rId19" Type="http://schemas.openxmlformats.org/officeDocument/2006/relationships/hyperlink" Target="https://www.planalto.gov.br/ccivil_03/_ato2015-2018/2018/lei/l13709.htm" TargetMode="External"/><Relationship Id="rId20" Type="http://schemas.openxmlformats.org/officeDocument/2006/relationships/hyperlink" Target="http://www.planalto.gov.br/ccivil_03/_ato2019-2022/2021/lei/L14133.htm" TargetMode="External"/><Relationship Id="rId21" Type="http://schemas.openxmlformats.org/officeDocument/2006/relationships/hyperlink" Target="https://www.planalto.gov.br/ccivil_03/leis/l8078compilado.htm" TargetMode="External"/><Relationship Id="rId22" Type="http://schemas.openxmlformats.org/officeDocument/2006/relationships/hyperlink" Target="http://www.planalto.gov.br/ccivil_03/_ato2019-2022/2021/lei/L14133.htm"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797</TotalTime>
  <Application>LibreOffice/25.2.7.2$Windows_X86_64 LibreOffice_project/5cbfd1ab6520636bb5f7b99185aa69bd7456825d</Application>
  <AppVersion>15.0000</AppVersion>
  <Pages>11</Pages>
  <Words>7044</Words>
  <Characters>40167</Characters>
  <CharactersWithSpaces>47723</CharactersWithSpaces>
  <Paragraphs>285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2025-10-16T17:44:00Z</dcterms:created>
  <dc:creator/>
  <dc:description/>
  <dc:language>pt-BR</dc:language>
  <cp:lastModifiedBy/>
  <dcterms:modified xsi:type="dcterms:W3CDTF">2026-09-02T10:15:48Z</dcterms:modified>
  <cp:revision>113</cp:revision>
  <dc:subject/>
  <dc:title/>
</cp:coreProperties>
</file>