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8D" w:rsidRPr="00860964" w:rsidRDefault="002E0E61">
      <w:pPr>
        <w:pStyle w:val="Ttulo2"/>
        <w:keepNext w:val="0"/>
        <w:keepLines w:val="0"/>
        <w:spacing w:after="80"/>
        <w:rPr>
          <w:rFonts w:ascii="Times New Roman" w:eastAsia="Times New Roman" w:hAnsi="Times New Roman" w:cs="Times New Roman"/>
          <w:b/>
          <w:sz w:val="34"/>
          <w:szCs w:val="34"/>
        </w:rPr>
      </w:pPr>
      <w:bookmarkStart w:id="0" w:name="_rmy3fwqrusiv" w:colFirst="0" w:colLast="0"/>
      <w:bookmarkEnd w:id="0"/>
      <w:r w:rsidRPr="00860964">
        <w:rPr>
          <w:rFonts w:ascii="Times New Roman" w:eastAsia="Times New Roman" w:hAnsi="Times New Roman" w:cs="Times New Roman"/>
          <w:b/>
          <w:sz w:val="34"/>
          <w:szCs w:val="34"/>
        </w:rPr>
        <w:t>Esboço - Publicação nos sites SEDET/SECITECE</w:t>
      </w:r>
      <w:r w:rsidR="00007C6D">
        <w:rPr>
          <w:rFonts w:ascii="Times New Roman" w:eastAsia="Times New Roman" w:hAnsi="Times New Roman" w:cs="Times New Roman"/>
          <w:b/>
          <w:sz w:val="34"/>
          <w:szCs w:val="34"/>
        </w:rPr>
        <w:t>/FUNCAP</w:t>
      </w:r>
    </w:p>
    <w:p w:rsidR="0017668D" w:rsidRPr="00860964" w:rsidRDefault="0017668D">
      <w:pPr>
        <w:pStyle w:val="Normal1"/>
      </w:pPr>
    </w:p>
    <w:p w:rsidR="00492977" w:rsidRDefault="002E0E61" w:rsidP="00492977">
      <w:pPr>
        <w:pStyle w:val="Normal1"/>
        <w:shd w:val="clear" w:color="auto" w:fill="FFFFFF"/>
        <w:spacing w:after="240" w:line="240" w:lineRule="auto"/>
        <w:jc w:val="both"/>
      </w:pPr>
      <w:r w:rsidRPr="00860964">
        <w:t xml:space="preserve">O Projeto Clusters Econômicos de Inovação </w:t>
      </w:r>
      <w:r w:rsidR="00B21987">
        <w:t>iniciou</w:t>
      </w:r>
      <w:r w:rsidRPr="00860964">
        <w:t xml:space="preserve"> em uma ação conjunta entre SEDET</w:t>
      </w:r>
      <w:r w:rsidR="00007C6D">
        <w:t>,</w:t>
      </w:r>
      <w:r w:rsidRPr="00860964">
        <w:t xml:space="preserve"> SECITECE</w:t>
      </w:r>
      <w:r w:rsidR="00007C6D">
        <w:t xml:space="preserve"> e FUNCAP </w:t>
      </w:r>
      <w:r w:rsidRPr="00860964">
        <w:t xml:space="preserve">e logo </w:t>
      </w:r>
      <w:r w:rsidR="005C26D3">
        <w:t xml:space="preserve">buscou </w:t>
      </w:r>
      <w:r w:rsidR="005C26D3" w:rsidRPr="00860964">
        <w:t>inclui</w:t>
      </w:r>
      <w:r w:rsidR="005C26D3">
        <w:t>r</w:t>
      </w:r>
      <w:r w:rsidR="00665834">
        <w:t xml:space="preserve"> </w:t>
      </w:r>
      <w:r w:rsidRPr="00860964">
        <w:t>o ecossistema de inovação do estado. Este projeto atua na articulação e in</w:t>
      </w:r>
      <w:r w:rsidR="00157F7F">
        <w:t xml:space="preserve">tegração </w:t>
      </w:r>
      <w:r w:rsidR="00874C58">
        <w:t>da</w:t>
      </w:r>
      <w:r w:rsidR="00157F7F">
        <w:t xml:space="preserve"> iniciativa privada, academia, Sistema S e</w:t>
      </w:r>
      <w:r w:rsidRPr="00860964">
        <w:t xml:space="preserve"> instituições de foment</w:t>
      </w:r>
      <w:r w:rsidR="00157F7F">
        <w:t>o,</w:t>
      </w:r>
      <w:r w:rsidRPr="00860964">
        <w:t xml:space="preserve"> com o intuito de gerar</w:t>
      </w:r>
      <w:r w:rsidR="00A91C03">
        <w:t xml:space="preserve"> mais e melhores</w:t>
      </w:r>
      <w:r w:rsidRPr="00860964">
        <w:t xml:space="preserve"> oportunidades</w:t>
      </w:r>
      <w:r w:rsidR="00A91C03">
        <w:t xml:space="preserve"> de emprego e empreendedorismo</w:t>
      </w:r>
      <w:r w:rsidRPr="00860964">
        <w:t xml:space="preserve"> nas regiões de planejamento do estado</w:t>
      </w:r>
      <w:r w:rsidR="00D23975">
        <w:t xml:space="preserve"> do Ceará</w:t>
      </w:r>
      <w:r w:rsidRPr="00860964">
        <w:t xml:space="preserve">, por meio da inserção de inovações aos respectivos clusters econômicos de maior potencial e cuja formação de ensino superior e profissionalizante tenham maior oferta na região. </w:t>
      </w:r>
    </w:p>
    <w:p w:rsidR="00492977" w:rsidRDefault="00492977" w:rsidP="00492977">
      <w:pPr>
        <w:pStyle w:val="Normal1"/>
        <w:shd w:val="clear" w:color="auto" w:fill="FFFFFF"/>
        <w:spacing w:after="240" w:line="240" w:lineRule="auto"/>
        <w:jc w:val="both"/>
      </w:pPr>
      <w:r>
        <w:t>O projeto visa elevar a competitividade das regiões pelo incremento de produtividade das atividades de maior potencial, criar uma nova economia baseada em empreendimentos inovadores da região, aumentar a riqueza da região com melhor distribuição de renda e a do estado com melhor distribuição entre as regiões.</w:t>
      </w:r>
    </w:p>
    <w:p w:rsidR="00B32C99" w:rsidRPr="00E049F6" w:rsidRDefault="005177CD" w:rsidP="00DB680D">
      <w:pPr>
        <w:pStyle w:val="Normal1"/>
        <w:spacing w:before="240" w:after="240" w:line="240" w:lineRule="auto"/>
        <w:jc w:val="both"/>
      </w:pPr>
      <w:r>
        <w:t>E</w:t>
      </w:r>
      <w:r w:rsidR="00E016AF">
        <w:t>m 2019</w:t>
      </w:r>
      <w:r>
        <w:t>,</w:t>
      </w:r>
      <w:r w:rsidR="00E016AF">
        <w:t xml:space="preserve"> </w:t>
      </w:r>
      <w:r>
        <w:t xml:space="preserve">o projeto iniciou </w:t>
      </w:r>
      <w:r w:rsidR="00BF61E0">
        <w:t>com 4</w:t>
      </w:r>
      <w:r w:rsidR="00E016AF">
        <w:t xml:space="preserve"> das 14 regiões de Planejamento do Ceará, enquanto as</w:t>
      </w:r>
      <w:r w:rsidR="00661BED">
        <w:t xml:space="preserve"> outras regiões serão trabalhada</w:t>
      </w:r>
      <w:r w:rsidR="00E016AF">
        <w:t>s no segundo ciclo, que se inicia em 2020.</w:t>
      </w:r>
      <w:r w:rsidR="00B21987">
        <w:t xml:space="preserve"> </w:t>
      </w:r>
      <w:r w:rsidR="00E049F6" w:rsidRPr="00E049F6">
        <w:t>As regiões de planejamento e</w:t>
      </w:r>
      <w:r w:rsidR="00B32C99" w:rsidRPr="00E049F6">
        <w:t xml:space="preserve">stão representadas no mapa </w:t>
      </w:r>
      <w:r w:rsidR="00E049F6" w:rsidRPr="00E049F6">
        <w:t>abaixo:</w:t>
      </w:r>
    </w:p>
    <w:p w:rsidR="00B32C99" w:rsidRPr="00B32C99" w:rsidRDefault="00A46C24" w:rsidP="00DB680D">
      <w:pPr>
        <w:pStyle w:val="Normal1"/>
        <w:spacing w:before="240" w:after="240" w:line="240" w:lineRule="auto"/>
        <w:jc w:val="both"/>
        <w:rPr>
          <w:color w:val="00B050"/>
        </w:rPr>
      </w:pPr>
      <w:hyperlink r:id="rId8" w:history="1">
        <w:r w:rsidR="00B32C99" w:rsidRPr="00D2368D">
          <w:rPr>
            <w:rStyle w:val="Hyperlink"/>
          </w:rPr>
          <w:t>https://www.ipece.ce.gov.br/wp-content/uploads/sites/45/2018/09/Regioes_Planejamento.pdf</w:t>
        </w:r>
      </w:hyperlink>
    </w:p>
    <w:p w:rsidR="00BA385C" w:rsidRDefault="0032684A" w:rsidP="00DB680D">
      <w:pPr>
        <w:pStyle w:val="Normal1"/>
        <w:spacing w:before="240" w:after="240" w:line="240" w:lineRule="auto"/>
        <w:jc w:val="both"/>
      </w:pPr>
      <w:r>
        <w:t xml:space="preserve">As </w:t>
      </w:r>
      <w:r w:rsidR="00BF61E0">
        <w:t>4</w:t>
      </w:r>
      <w:r>
        <w:t xml:space="preserve"> regiões de planejamento</w:t>
      </w:r>
      <w:r w:rsidR="007E7204">
        <w:t xml:space="preserve"> para o primeiro ciclo</w:t>
      </w:r>
      <w:r w:rsidR="004C3F99">
        <w:t xml:space="preserve"> são: Grande Fortaleza,</w:t>
      </w:r>
      <w:r w:rsidR="00661BED">
        <w:t xml:space="preserve"> Sertão de Sobral, Vale do Jaguaribe e Sertão Central. Pela heterogeneidade nas atividades econômicas e pela alta densidade populacional,</w:t>
      </w:r>
      <w:r w:rsidR="00457496">
        <w:t xml:space="preserve"> a</w:t>
      </w:r>
      <w:r w:rsidR="00661BED">
        <w:t xml:space="preserve"> Grande Fortaleza foi dividida em três sub-regiões</w:t>
      </w:r>
      <w:r w:rsidR="00457496">
        <w:t>, conforme indicado na Tabela 1</w:t>
      </w:r>
      <w:r w:rsidR="00185916">
        <w:t>:</w:t>
      </w:r>
    </w:p>
    <w:p w:rsidR="00BA385C" w:rsidRDefault="00BA385C" w:rsidP="00BA385C">
      <w:pPr>
        <w:pStyle w:val="Normal1"/>
        <w:spacing w:before="240" w:after="240" w:line="240" w:lineRule="auto"/>
        <w:jc w:val="center"/>
        <w:rPr>
          <w:b/>
          <w:sz w:val="24"/>
        </w:rPr>
      </w:pPr>
      <w:r w:rsidRPr="00541C6D">
        <w:rPr>
          <w:b/>
          <w:sz w:val="24"/>
        </w:rPr>
        <w:t xml:space="preserve">Tabela </w:t>
      </w:r>
      <w:r>
        <w:rPr>
          <w:b/>
          <w:sz w:val="24"/>
        </w:rPr>
        <w:t>1</w:t>
      </w:r>
      <w:r w:rsidRPr="00541C6D">
        <w:rPr>
          <w:b/>
          <w:sz w:val="24"/>
        </w:rPr>
        <w:t xml:space="preserve">: </w:t>
      </w:r>
      <w:r w:rsidR="00457496">
        <w:rPr>
          <w:b/>
          <w:sz w:val="24"/>
        </w:rPr>
        <w:t>Sub-regiões da</w:t>
      </w:r>
      <w:r>
        <w:rPr>
          <w:b/>
          <w:sz w:val="24"/>
        </w:rPr>
        <w:t xml:space="preserve"> Grande Fortaleza</w:t>
      </w:r>
    </w:p>
    <w:p w:rsidR="00BA385C" w:rsidRDefault="00BA385C" w:rsidP="00BA385C">
      <w:pPr>
        <w:pStyle w:val="Normal1"/>
        <w:spacing w:before="240" w:after="240" w:line="240" w:lineRule="auto"/>
        <w:jc w:val="center"/>
      </w:pPr>
      <w:r w:rsidRPr="00BA385C">
        <w:rPr>
          <w:noProof/>
        </w:rPr>
        <w:drawing>
          <wp:inline distT="0" distB="0" distL="0" distR="0">
            <wp:extent cx="4014470" cy="1672590"/>
            <wp:effectExtent l="19050" t="0" r="508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D6" w:rsidRDefault="00791FD6" w:rsidP="00DB680D">
      <w:pPr>
        <w:pStyle w:val="Normal1"/>
        <w:spacing w:before="240" w:after="240" w:line="240" w:lineRule="auto"/>
        <w:jc w:val="both"/>
      </w:pPr>
    </w:p>
    <w:p w:rsidR="0069260F" w:rsidRDefault="00B32C99" w:rsidP="0069260F">
      <w:pPr>
        <w:pStyle w:val="Normal1"/>
        <w:spacing w:before="240" w:after="240" w:line="240" w:lineRule="auto"/>
        <w:jc w:val="both"/>
      </w:pPr>
      <w:r w:rsidRPr="00CF2A49">
        <w:t xml:space="preserve">Os clusters foram priorizados em cada região conforme indicadores </w:t>
      </w:r>
      <w:r w:rsidR="00457496">
        <w:t>descritos na T</w:t>
      </w:r>
      <w:r w:rsidR="00874C58">
        <w:t>abela 2</w:t>
      </w:r>
      <w:r w:rsidRPr="00CF2A49">
        <w:t>.</w:t>
      </w:r>
      <w:r w:rsidR="00256795" w:rsidRPr="00CF2A49">
        <w:t xml:space="preserve"> </w:t>
      </w:r>
      <w:r w:rsidR="0069260F">
        <w:t xml:space="preserve">Além disso, </w:t>
      </w:r>
      <w:r w:rsidR="0069260F" w:rsidRPr="00CF2A49">
        <w:t xml:space="preserve">foi considerado o potencial de cada região em </w:t>
      </w:r>
      <w:r w:rsidR="0069260F">
        <w:t>tornar-se</w:t>
      </w:r>
      <w:r w:rsidR="0069260F" w:rsidRPr="00CF2A49">
        <w:t xml:space="preserve"> refe</w:t>
      </w:r>
      <w:r w:rsidR="0069260F">
        <w:t>rência em determinado setor. Dessa forma, o Sertão de Sobral,</w:t>
      </w:r>
      <w:r w:rsidR="00874C58">
        <w:t xml:space="preserve"> por exemplo,</w:t>
      </w:r>
      <w:r w:rsidR="0069260F">
        <w:t xml:space="preserve"> teve o cluster de Economia da Educação priorizado, uma vez que a região é </w:t>
      </w:r>
      <w:r w:rsidR="0069260F" w:rsidRPr="00CF2A49">
        <w:t>reconhecida</w:t>
      </w:r>
      <w:r w:rsidR="0069260F">
        <w:t>, nacionalmente,</w:t>
      </w:r>
      <w:r w:rsidR="0069260F" w:rsidRPr="00CF2A49">
        <w:t xml:space="preserve"> </w:t>
      </w:r>
      <w:r w:rsidR="0069260F">
        <w:t xml:space="preserve">pelo excelente desempenho em avaliações estaduais e nacionais do </w:t>
      </w:r>
      <w:r w:rsidR="0069260F" w:rsidRPr="000A3598">
        <w:t xml:space="preserve">setor. </w:t>
      </w:r>
      <w:r w:rsidR="00EF3EC9" w:rsidRPr="000A3598">
        <w:t>As regiões ainda puderam escolher</w:t>
      </w:r>
      <w:r w:rsidR="00BF61E0">
        <w:t>,</w:t>
      </w:r>
      <w:r w:rsidR="00EF3EC9" w:rsidRPr="000A3598">
        <w:t xml:space="preserve"> a partir do ranking estabelecido pelos indicadores quantitativos e qualitativos</w:t>
      </w:r>
      <w:r w:rsidR="00BF61E0">
        <w:t>,</w:t>
      </w:r>
      <w:r w:rsidR="00EF3EC9" w:rsidRPr="000A3598">
        <w:t xml:space="preserve"> outro cluster</w:t>
      </w:r>
      <w:r w:rsidR="000A3598" w:rsidRPr="000A3598">
        <w:t xml:space="preserve"> que ainda </w:t>
      </w:r>
      <w:r w:rsidR="00874C58">
        <w:t>não estivesse</w:t>
      </w:r>
      <w:r w:rsidR="00D23975">
        <w:t xml:space="preserve"> </w:t>
      </w:r>
      <w:r w:rsidR="00EF3EC9" w:rsidRPr="000A3598">
        <w:t xml:space="preserve">priorizado em </w:t>
      </w:r>
      <w:r w:rsidR="000A3598">
        <w:t>alguma</w:t>
      </w:r>
      <w:r w:rsidR="00EF3EC9" w:rsidRPr="000A3598">
        <w:t xml:space="preserve"> região.</w:t>
      </w:r>
    </w:p>
    <w:p w:rsidR="00256795" w:rsidRDefault="006E4308" w:rsidP="00071410">
      <w:pPr>
        <w:pStyle w:val="Normal1"/>
        <w:spacing w:before="240" w:after="240" w:line="240" w:lineRule="auto"/>
        <w:jc w:val="center"/>
        <w:rPr>
          <w:b/>
          <w:sz w:val="24"/>
        </w:rPr>
      </w:pPr>
      <w:r w:rsidRPr="00541C6D">
        <w:rPr>
          <w:b/>
          <w:sz w:val="24"/>
        </w:rPr>
        <w:lastRenderedPageBreak/>
        <w:t xml:space="preserve">Tabela </w:t>
      </w:r>
      <w:r w:rsidR="00BA385C">
        <w:rPr>
          <w:b/>
          <w:sz w:val="24"/>
        </w:rPr>
        <w:t>2</w:t>
      </w:r>
      <w:r w:rsidR="00071410" w:rsidRPr="00541C6D">
        <w:rPr>
          <w:b/>
          <w:sz w:val="24"/>
        </w:rPr>
        <w:t>: Indicadores Econômicos e de Educação</w:t>
      </w:r>
    </w:p>
    <w:p w:rsidR="00185916" w:rsidRDefault="00185916" w:rsidP="00071410">
      <w:pPr>
        <w:pStyle w:val="Normal1"/>
        <w:spacing w:before="240" w:after="240" w:line="240" w:lineRule="auto"/>
        <w:jc w:val="center"/>
        <w:rPr>
          <w:b/>
          <w:sz w:val="24"/>
        </w:rPr>
      </w:pPr>
      <w:r w:rsidRPr="00185916">
        <w:rPr>
          <w:noProof/>
        </w:rPr>
        <w:drawing>
          <wp:inline distT="0" distB="0" distL="0" distR="0">
            <wp:extent cx="4530090" cy="1208405"/>
            <wp:effectExtent l="19050" t="0" r="381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795" w:rsidRPr="00541C6D" w:rsidRDefault="00541C6D" w:rsidP="00DB680D">
      <w:pPr>
        <w:pStyle w:val="Normal1"/>
        <w:spacing w:before="240" w:after="240" w:line="240" w:lineRule="auto"/>
        <w:jc w:val="both"/>
      </w:pPr>
      <w:r>
        <w:t>Fontes</w:t>
      </w:r>
      <w:r w:rsidRPr="00541C6D">
        <w:t>: (1) Ipece (2016), (2) RAIS (2016), (3) Inep (2017), (4) Inep (2018) e (5) Capes (2017).</w:t>
      </w:r>
    </w:p>
    <w:p w:rsidR="00B32C99" w:rsidRDefault="00B32C99" w:rsidP="00DB680D">
      <w:pPr>
        <w:pStyle w:val="Normal1"/>
        <w:spacing w:before="240" w:after="240" w:line="240" w:lineRule="auto"/>
        <w:jc w:val="both"/>
      </w:pPr>
      <w:r w:rsidRPr="00CF2A49">
        <w:t>Esta discussão se deu inicial</w:t>
      </w:r>
      <w:r w:rsidR="003E1BFA">
        <w:t>mente com o n</w:t>
      </w:r>
      <w:r w:rsidRPr="00CF2A49">
        <w:t xml:space="preserve">úcleo central </w:t>
      </w:r>
      <w:r w:rsidR="007E7204">
        <w:t xml:space="preserve">do ecossistema de inovação </w:t>
      </w:r>
      <w:r w:rsidRPr="00CF2A49">
        <w:t xml:space="preserve">representado por </w:t>
      </w:r>
      <w:r w:rsidR="007E7204">
        <w:t>SEDET, SECITECE, FUNCAP, SEDUC,</w:t>
      </w:r>
      <w:r w:rsidR="002D2F97">
        <w:t xml:space="preserve"> FECOMÉRCIO, </w:t>
      </w:r>
      <w:r w:rsidR="007E7204">
        <w:t>FIEC, SEBRAE, SENAI,</w:t>
      </w:r>
      <w:r w:rsidR="002D2F97">
        <w:t xml:space="preserve"> SENAC, SESC, </w:t>
      </w:r>
      <w:r w:rsidR="009A121A">
        <w:t>IPECE, NUTEC, IRACEMA DIGITAL,</w:t>
      </w:r>
      <w:r w:rsidR="00F65731" w:rsidRPr="00F65731">
        <w:t xml:space="preserve"> </w:t>
      </w:r>
      <w:r w:rsidR="00F65731">
        <w:t>CORREDORES DIGITAIS,</w:t>
      </w:r>
      <w:r w:rsidR="009A121A">
        <w:t xml:space="preserve"> UFC, IFCE, UECE, UNIFOR, FINEP, EMBRAPII</w:t>
      </w:r>
      <w:r w:rsidR="002D2F97">
        <w:t xml:space="preserve">, </w:t>
      </w:r>
      <w:r w:rsidR="002D2F97" w:rsidRPr="004600C0">
        <w:t>BNB</w:t>
      </w:r>
      <w:r w:rsidR="002D2F97">
        <w:t xml:space="preserve">, </w:t>
      </w:r>
      <w:r w:rsidR="007E7204">
        <w:t>entre outros.</w:t>
      </w:r>
      <w:r w:rsidR="00071410">
        <w:t xml:space="preserve"> </w:t>
      </w:r>
      <w:r w:rsidR="007E7204">
        <w:t xml:space="preserve">Após este momento de avaliação, a escolha dos clusters também </w:t>
      </w:r>
      <w:r w:rsidRPr="00CF2A49">
        <w:t>foi validad</w:t>
      </w:r>
      <w:r w:rsidR="007E7204">
        <w:t>a</w:t>
      </w:r>
      <w:r w:rsidRPr="00CF2A49">
        <w:t xml:space="preserve"> em cada região </w:t>
      </w:r>
      <w:r w:rsidR="007E7204">
        <w:t>pelos representantes dos ecossistemas regionais</w:t>
      </w:r>
      <w:r w:rsidR="000A3598">
        <w:t xml:space="preserve"> de inovação, compreendendo </w:t>
      </w:r>
      <w:r w:rsidR="00276A4A">
        <w:t>os atores</w:t>
      </w:r>
      <w:r w:rsidR="000A3598">
        <w:t xml:space="preserve"> </w:t>
      </w:r>
      <w:r w:rsidR="00276A4A">
        <w:t>regionais que compõem as instituições do</w:t>
      </w:r>
      <w:r w:rsidR="000A3598">
        <w:t xml:space="preserve"> núcleo central</w:t>
      </w:r>
      <w:r w:rsidR="00276A4A">
        <w:t xml:space="preserve"> nas regiões</w:t>
      </w:r>
      <w:r w:rsidR="000A3598">
        <w:t xml:space="preserve">, </w:t>
      </w:r>
      <w:r w:rsidR="00276A4A">
        <w:t>a academia e os secretários de desenvolvimento econômico e de ciência e tecnologia municipais</w:t>
      </w:r>
      <w:r w:rsidR="007E7204">
        <w:t xml:space="preserve">. </w:t>
      </w:r>
      <w:r w:rsidR="00024EB3">
        <w:t>Os</w:t>
      </w:r>
      <w:r w:rsidR="007E7204">
        <w:t xml:space="preserve"> convites </w:t>
      </w:r>
      <w:r w:rsidR="00024EB3">
        <w:t>dessas</w:t>
      </w:r>
      <w:r w:rsidR="007E7204">
        <w:t xml:space="preserve"> reuniões encontram-se</w:t>
      </w:r>
      <w:r w:rsidR="00C922B4">
        <w:t xml:space="preserve"> no link abaixo</w:t>
      </w:r>
      <w:bookmarkStart w:id="1" w:name="_GoBack"/>
      <w:bookmarkEnd w:id="1"/>
      <w:r w:rsidRPr="00CF2A49">
        <w:t>:</w:t>
      </w:r>
    </w:p>
    <w:p w:rsidR="002B528B" w:rsidRDefault="00A46C24" w:rsidP="002B528B">
      <w:pPr>
        <w:pStyle w:val="Normal1"/>
        <w:spacing w:before="240" w:after="240" w:line="240" w:lineRule="auto"/>
        <w:jc w:val="center"/>
        <w:rPr>
          <w:color w:val="00B0F0"/>
        </w:rPr>
      </w:pPr>
      <w:hyperlink r:id="rId11" w:history="1">
        <w:r w:rsidR="002B528B" w:rsidRPr="00A57D7B">
          <w:rPr>
            <w:rStyle w:val="Hyperlink"/>
          </w:rPr>
          <w:t>https://drive.google.com/drive/folders/1y7qL5wI_PbtmTFKLJTztrfLiC5zwPd_q</w:t>
        </w:r>
      </w:hyperlink>
    </w:p>
    <w:p w:rsidR="007E7204" w:rsidRDefault="002F44CC" w:rsidP="00DB680D">
      <w:pPr>
        <w:pStyle w:val="Normal1"/>
        <w:spacing w:before="240" w:after="240" w:line="240" w:lineRule="auto"/>
        <w:jc w:val="both"/>
      </w:pPr>
      <w:r>
        <w:t>Os clusters priorizados são</w:t>
      </w:r>
      <w:r w:rsidR="007E7204">
        <w:t>:</w:t>
      </w:r>
    </w:p>
    <w:p w:rsidR="00DA3F28" w:rsidRDefault="00DA3F28" w:rsidP="00DB680D">
      <w:pPr>
        <w:pStyle w:val="Normal1"/>
        <w:numPr>
          <w:ilvl w:val="0"/>
          <w:numId w:val="1"/>
        </w:numPr>
        <w:spacing w:before="240" w:after="240" w:line="240" w:lineRule="auto"/>
        <w:ind w:left="0" w:firstLine="142"/>
        <w:jc w:val="both"/>
      </w:pPr>
      <w:r w:rsidRPr="000D1604">
        <w:rPr>
          <w:b/>
        </w:rPr>
        <w:t>Grande Fortaleza I</w:t>
      </w:r>
      <w:r w:rsidR="00EF29CC">
        <w:rPr>
          <w:b/>
        </w:rPr>
        <w:t>*</w:t>
      </w:r>
      <w:r>
        <w:t xml:space="preserve">: Economia da Saúde, </w:t>
      </w:r>
      <w:r w:rsidR="007D7C67">
        <w:t xml:space="preserve">Turismo, </w:t>
      </w:r>
      <w:r w:rsidRPr="00F53675">
        <w:t>Cadeia da Água e Tecnologia da Informação e Comunicação</w:t>
      </w:r>
      <w:r>
        <w:t>;</w:t>
      </w:r>
    </w:p>
    <w:p w:rsidR="00DA3F28" w:rsidRDefault="00DA3F28" w:rsidP="00DB680D">
      <w:pPr>
        <w:pStyle w:val="Normal1"/>
        <w:numPr>
          <w:ilvl w:val="0"/>
          <w:numId w:val="1"/>
        </w:numPr>
        <w:spacing w:before="240" w:after="240" w:line="240" w:lineRule="auto"/>
        <w:ind w:left="0" w:firstLine="142"/>
        <w:jc w:val="both"/>
      </w:pPr>
      <w:r w:rsidRPr="000D1604">
        <w:rPr>
          <w:b/>
        </w:rPr>
        <w:t>Grande Fortaleza II</w:t>
      </w:r>
      <w:r>
        <w:t>: Indústria de Transformação (Alimentos e Bebidas) / Agropecuária e Extrativismo, Turismo e Economia da Saúde;</w:t>
      </w:r>
    </w:p>
    <w:p w:rsidR="00DA3F28" w:rsidRDefault="00DA3F28" w:rsidP="00DB680D">
      <w:pPr>
        <w:pStyle w:val="Normal1"/>
        <w:numPr>
          <w:ilvl w:val="0"/>
          <w:numId w:val="1"/>
        </w:numPr>
        <w:spacing w:before="240" w:after="240" w:line="240" w:lineRule="auto"/>
        <w:ind w:left="0" w:firstLine="142"/>
        <w:jc w:val="both"/>
      </w:pPr>
      <w:r w:rsidRPr="000D1604">
        <w:rPr>
          <w:b/>
        </w:rPr>
        <w:t>Grande Fortaleza III</w:t>
      </w:r>
      <w:r w:rsidR="00EF29CC">
        <w:rPr>
          <w:b/>
        </w:rPr>
        <w:t>*</w:t>
      </w:r>
      <w:r>
        <w:t xml:space="preserve">: </w:t>
      </w:r>
      <w:r w:rsidRPr="00F53675">
        <w:t>Indústria d</w:t>
      </w:r>
      <w:r w:rsidR="00185916" w:rsidRPr="00F53675">
        <w:t>e</w:t>
      </w:r>
      <w:r w:rsidRPr="00F53675">
        <w:t xml:space="preserve"> Transformação (Metalurgia e Minerais), Infraestrutura e Logística, Energia</w:t>
      </w:r>
      <w:r w:rsidR="00011A8A" w:rsidRPr="00F53675">
        <w:t>s Renováveis</w:t>
      </w:r>
      <w:r w:rsidRPr="00F53675">
        <w:t>;</w:t>
      </w:r>
    </w:p>
    <w:p w:rsidR="00DA3F28" w:rsidRDefault="00DA3F28" w:rsidP="00DB680D">
      <w:pPr>
        <w:pStyle w:val="Normal1"/>
        <w:numPr>
          <w:ilvl w:val="0"/>
          <w:numId w:val="1"/>
        </w:numPr>
        <w:spacing w:before="240" w:after="240" w:line="240" w:lineRule="auto"/>
        <w:ind w:left="0" w:firstLine="142"/>
        <w:jc w:val="both"/>
      </w:pPr>
      <w:r w:rsidRPr="000D1604">
        <w:rPr>
          <w:b/>
        </w:rPr>
        <w:t>Sertão de Sobral</w:t>
      </w:r>
      <w:r>
        <w:t>: Economia da Saúde, Indústria de Transformação (Couros, calçados e confecções), Economia da Educação, E</w:t>
      </w:r>
      <w:r w:rsidR="00011A8A">
        <w:t>nergias Renováveis</w:t>
      </w:r>
      <w:r>
        <w:t xml:space="preserve"> e Tecnologia da Informação e Comunicação;</w:t>
      </w:r>
    </w:p>
    <w:p w:rsidR="00DA3F28" w:rsidRDefault="00DA3F28" w:rsidP="00DB680D">
      <w:pPr>
        <w:pStyle w:val="Normal1"/>
        <w:numPr>
          <w:ilvl w:val="0"/>
          <w:numId w:val="1"/>
        </w:numPr>
        <w:spacing w:before="240" w:after="240" w:line="240" w:lineRule="auto"/>
        <w:ind w:left="0" w:firstLine="142"/>
        <w:jc w:val="both"/>
      </w:pPr>
      <w:r w:rsidRPr="000D1604">
        <w:rPr>
          <w:b/>
        </w:rPr>
        <w:t>Vale do Jaguaribe</w:t>
      </w:r>
      <w:r>
        <w:t>: Tecnologia da Informação e Comunicação, Indústria d</w:t>
      </w:r>
      <w:r w:rsidR="00185916">
        <w:t>e</w:t>
      </w:r>
      <w:r>
        <w:t xml:space="preserve"> Transformação (Alimentos e Bebidas) / Agropecuá</w:t>
      </w:r>
      <w:r w:rsidR="00185916">
        <w:t>ria e Extrativismo, Indústria de</w:t>
      </w:r>
      <w:r>
        <w:t xml:space="preserve"> Transformação (Metalurgia e Minerais);</w:t>
      </w:r>
    </w:p>
    <w:p w:rsidR="00DA3F28" w:rsidRDefault="00DA3F28" w:rsidP="00DB680D">
      <w:pPr>
        <w:pStyle w:val="Normal1"/>
        <w:numPr>
          <w:ilvl w:val="0"/>
          <w:numId w:val="1"/>
        </w:numPr>
        <w:spacing w:before="240" w:after="240" w:line="240" w:lineRule="auto"/>
        <w:ind w:left="0" w:firstLine="142"/>
        <w:jc w:val="both"/>
      </w:pPr>
      <w:r w:rsidRPr="000D1604">
        <w:rPr>
          <w:b/>
        </w:rPr>
        <w:t>Sertão Central</w:t>
      </w:r>
      <w:r>
        <w:t>: Economia da Saúde, Indústria da Transformação (Alimentos e Bebidas) / Agropecuária e Extrativismo, Tecnologia da Informação e Comunicação.</w:t>
      </w:r>
    </w:p>
    <w:p w:rsidR="00EF29CC" w:rsidRPr="004050C3" w:rsidRDefault="00EF29CC" w:rsidP="00EF29CC">
      <w:pPr>
        <w:pStyle w:val="Normal1"/>
        <w:spacing w:before="240" w:after="240" w:line="240" w:lineRule="auto"/>
        <w:ind w:left="142"/>
        <w:jc w:val="both"/>
        <w:rPr>
          <w:b/>
          <w:sz w:val="18"/>
        </w:rPr>
      </w:pPr>
      <w:r w:rsidRPr="004050C3">
        <w:rPr>
          <w:b/>
          <w:sz w:val="18"/>
        </w:rPr>
        <w:t>*Nos clusters de Grande Fortaleza I, apenas Cadeia da Água e Tecnologia da Informação e Comunicação serão tr</w:t>
      </w:r>
      <w:r w:rsidR="004050C3" w:rsidRPr="004050C3">
        <w:rPr>
          <w:b/>
          <w:sz w:val="18"/>
        </w:rPr>
        <w:t>abalhados neste primeiro ciclo</w:t>
      </w:r>
      <w:r w:rsidRPr="004050C3">
        <w:rPr>
          <w:b/>
          <w:sz w:val="18"/>
        </w:rPr>
        <w:t xml:space="preserve">. Já os clusters de Grande Fortaleza III só serão </w:t>
      </w:r>
      <w:r w:rsidR="004050C3" w:rsidRPr="004050C3">
        <w:rPr>
          <w:b/>
          <w:sz w:val="18"/>
        </w:rPr>
        <w:t>trabalhados em ciclo posterior</w:t>
      </w:r>
      <w:r w:rsidRPr="004050C3">
        <w:rPr>
          <w:b/>
          <w:sz w:val="18"/>
        </w:rPr>
        <w:t>.</w:t>
      </w:r>
    </w:p>
    <w:p w:rsidR="00D026BF" w:rsidRDefault="00185916" w:rsidP="00DB680D">
      <w:pPr>
        <w:pStyle w:val="Normal1"/>
        <w:spacing w:before="240" w:after="240" w:line="240" w:lineRule="auto"/>
        <w:jc w:val="both"/>
      </w:pPr>
      <w:r>
        <w:lastRenderedPageBreak/>
        <w:t>A presente etapa do projeto consiste na priorização de problemas dos clusters, na qual</w:t>
      </w:r>
      <w:r w:rsidR="002E0E61" w:rsidRPr="00860964">
        <w:t xml:space="preserve"> empr</w:t>
      </w:r>
      <w:r w:rsidR="00065763">
        <w:t xml:space="preserve">esas e pesquisadores </w:t>
      </w:r>
      <w:r>
        <w:t xml:space="preserve">de cada região </w:t>
      </w:r>
      <w:r w:rsidR="00065763">
        <w:t>deverão</w:t>
      </w:r>
      <w:r w:rsidR="00DA3F28">
        <w:t xml:space="preserve"> formar equipes e</w:t>
      </w:r>
      <w:r w:rsidR="00065763">
        <w:t xml:space="preserve"> defender</w:t>
      </w:r>
      <w:r w:rsidR="002E0E61" w:rsidRPr="00860964">
        <w:t xml:space="preserve"> os problemas </w:t>
      </w:r>
      <w:r w:rsidR="00011A8A">
        <w:t>de seu</w:t>
      </w:r>
      <w:r w:rsidR="00CD0AAD">
        <w:t xml:space="preserve"> cluster</w:t>
      </w:r>
      <w:r w:rsidR="00065763">
        <w:t xml:space="preserve"> priorizado</w:t>
      </w:r>
      <w:r w:rsidR="002B528B">
        <w:t xml:space="preserve"> </w:t>
      </w:r>
      <w:r w:rsidR="002E0E61" w:rsidRPr="00860964">
        <w:t xml:space="preserve">para uma banca especializada, em formato de </w:t>
      </w:r>
      <w:r w:rsidR="002E0E61" w:rsidRPr="00185916">
        <w:t>pitch</w:t>
      </w:r>
      <w:r w:rsidR="002E0E61" w:rsidRPr="00860964">
        <w:t xml:space="preserve"> de até 10 minutos.</w:t>
      </w:r>
      <w:r w:rsidR="00541C6D">
        <w:t xml:space="preserve"> </w:t>
      </w:r>
      <w:r w:rsidR="002E0E61" w:rsidRPr="00860964">
        <w:t xml:space="preserve">Estes problemas serão </w:t>
      </w:r>
      <w:r w:rsidR="00EA13F4">
        <w:t>avaliados</w:t>
      </w:r>
      <w:r w:rsidR="002E0E61" w:rsidRPr="00860964">
        <w:t xml:space="preserve"> pela banca a partir dos seguintes critérios: impacto na competitividade do cluster, sustentabilidade do empreendimento inovador</w:t>
      </w:r>
      <w:r w:rsidR="00BD3AF0">
        <w:t xml:space="preserve"> e</w:t>
      </w:r>
      <w:r w:rsidR="00011A8A">
        <w:t xml:space="preserve"> viabilidade de execução. </w:t>
      </w:r>
      <w:r w:rsidR="00011A8A" w:rsidRPr="00185916">
        <w:t>Concomitante</w:t>
      </w:r>
      <w:r w:rsidRPr="00185916">
        <w:t xml:space="preserve"> a esta etapa,</w:t>
      </w:r>
      <w:r w:rsidR="00011A8A" w:rsidRPr="00185916">
        <w:t xml:space="preserve"> acontecerá </w:t>
      </w:r>
      <w:r w:rsidR="00874C58">
        <w:t>a</w:t>
      </w:r>
      <w:r w:rsidR="00DB680D" w:rsidRPr="00185916">
        <w:t xml:space="preserve"> seleção dos pesquisadores que modelarão os problemas junto das empresas e receberão bolsas da FUNCAP. </w:t>
      </w:r>
      <w:r w:rsidR="00011A8A" w:rsidRPr="00185916">
        <w:t>Vale ressaltar que o pesquisador</w:t>
      </w:r>
      <w:r w:rsidR="00131E7A" w:rsidRPr="00185916">
        <w:t xml:space="preserve"> deverá ter qualificação</w:t>
      </w:r>
      <w:r w:rsidR="00131E7A">
        <w:t xml:space="preserve"> técnica comprovada para a solução do problema e, caso deseje,</w:t>
      </w:r>
      <w:r w:rsidR="00011A8A">
        <w:t xml:space="preserve"> poderá defender mais de um problema</w:t>
      </w:r>
      <w:r w:rsidR="00131E7A">
        <w:t xml:space="preserve">. Além disso, é desejável que os pesquisadores pertençam àquela região. </w:t>
      </w:r>
    </w:p>
    <w:p w:rsidR="00EE4A1E" w:rsidRDefault="002E0E61" w:rsidP="00DB680D">
      <w:pPr>
        <w:pStyle w:val="Normal1"/>
        <w:pBdr>
          <w:bottom w:val="single" w:sz="12" w:space="1" w:color="auto"/>
        </w:pBdr>
        <w:spacing w:before="240" w:after="240" w:line="240" w:lineRule="auto"/>
        <w:jc w:val="both"/>
      </w:pPr>
      <w:r w:rsidRPr="00860964">
        <w:t xml:space="preserve">As equipes de empresas e pesquisadores que desejarem apresentar os problemas deverão </w:t>
      </w:r>
      <w:r w:rsidR="00131E7A">
        <w:t>manifestar interesse através do e-mai</w:t>
      </w:r>
      <w:r w:rsidRPr="00860964">
        <w:t xml:space="preserve">l </w:t>
      </w:r>
      <w:r w:rsidR="00D026BF" w:rsidRPr="00EE4A1E">
        <w:rPr>
          <w:b/>
        </w:rPr>
        <w:t>sxcsi@sedet.ce.gov.br</w:t>
      </w:r>
      <w:r w:rsidR="00131E7A">
        <w:t>,</w:t>
      </w:r>
      <w:r w:rsidR="00D026BF">
        <w:t xml:space="preserve"> além de enviar um</w:t>
      </w:r>
      <w:r w:rsidR="00185916">
        <w:t xml:space="preserve"> </w:t>
      </w:r>
      <w:r w:rsidRPr="00860964">
        <w:t>modelo de apresentação preenchido</w:t>
      </w:r>
      <w:r w:rsidR="00BD3AF0">
        <w:t xml:space="preserve"> para uma pré-avaliação</w:t>
      </w:r>
      <w:r w:rsidRPr="00860964">
        <w:t xml:space="preserve">. </w:t>
      </w:r>
    </w:p>
    <w:p w:rsidR="00FD5070" w:rsidRDefault="00185916" w:rsidP="00BA385C">
      <w:pPr>
        <w:pStyle w:val="Normal1"/>
        <w:pBdr>
          <w:bottom w:val="single" w:sz="12" w:space="1" w:color="auto"/>
        </w:pBdr>
        <w:spacing w:before="240" w:after="240" w:line="240" w:lineRule="auto"/>
        <w:jc w:val="both"/>
      </w:pPr>
      <w:r>
        <w:t>Segue abaixo link no qual</w:t>
      </w:r>
      <w:r w:rsidR="002E0E61">
        <w:t xml:space="preserve"> consta o template da</w:t>
      </w:r>
      <w:r w:rsidR="002E0E61" w:rsidRPr="00860964">
        <w:t xml:space="preserve"> apresentação, junto a outro arquivo que contém o detalhamento dos critérios</w:t>
      </w:r>
      <w:r w:rsidR="002E0E61">
        <w:t xml:space="preserve"> que serão utilizados nas avaliações</w:t>
      </w:r>
      <w:r w:rsidR="002E0E61" w:rsidRPr="00860964">
        <w:t>. Após o envio desses documentos, entraremos em contato com as equipes para maiores informações</w:t>
      </w:r>
    </w:p>
    <w:p w:rsidR="0017668D" w:rsidRDefault="00FD5070" w:rsidP="00BA385C">
      <w:pPr>
        <w:pStyle w:val="Normal1"/>
        <w:pBdr>
          <w:bottom w:val="single" w:sz="12" w:space="1" w:color="auto"/>
        </w:pBdr>
        <w:spacing w:before="240" w:after="240" w:line="240" w:lineRule="auto"/>
        <w:jc w:val="both"/>
      </w:pPr>
      <w:r>
        <w:t xml:space="preserve">       </w:t>
      </w:r>
      <w:hyperlink r:id="rId12" w:history="1">
        <w:r w:rsidR="003A23F1" w:rsidRPr="00150D01">
          <w:rPr>
            <w:rStyle w:val="Hyperlink"/>
          </w:rPr>
          <w:t>https://drive.google.com/drive/folders/144Ge5pquPx9hzFA6v-iszxsYTR6O1kj0</w:t>
        </w:r>
      </w:hyperlink>
      <w:r w:rsidR="002E0E61" w:rsidRPr="00860964">
        <w:t>.</w:t>
      </w:r>
    </w:p>
    <w:p w:rsidR="003A23F1" w:rsidRPr="00860964" w:rsidRDefault="003A23F1" w:rsidP="00BA385C">
      <w:pPr>
        <w:pStyle w:val="Normal1"/>
        <w:pBdr>
          <w:bottom w:val="single" w:sz="12" w:space="1" w:color="auto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</w:p>
    <w:sectPr w:rsidR="003A23F1" w:rsidRPr="00860964" w:rsidSect="001766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EB" w:rsidRDefault="008B49EB" w:rsidP="002D2F97">
      <w:pPr>
        <w:spacing w:line="240" w:lineRule="auto"/>
      </w:pPr>
      <w:r>
        <w:separator/>
      </w:r>
    </w:p>
  </w:endnote>
  <w:endnote w:type="continuationSeparator" w:id="1">
    <w:p w:rsidR="008B49EB" w:rsidRDefault="008B49EB" w:rsidP="002D2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EB" w:rsidRDefault="008B49EB" w:rsidP="002D2F97">
      <w:pPr>
        <w:spacing w:line="240" w:lineRule="auto"/>
      </w:pPr>
      <w:r>
        <w:separator/>
      </w:r>
    </w:p>
  </w:footnote>
  <w:footnote w:type="continuationSeparator" w:id="1">
    <w:p w:rsidR="008B49EB" w:rsidRDefault="008B49EB" w:rsidP="002D2F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DDE"/>
    <w:multiLevelType w:val="hybridMultilevel"/>
    <w:tmpl w:val="FB1C2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68D"/>
    <w:rsid w:val="00007C6D"/>
    <w:rsid w:val="00011A8A"/>
    <w:rsid w:val="00024EB3"/>
    <w:rsid w:val="00065763"/>
    <w:rsid w:val="00071410"/>
    <w:rsid w:val="000A3598"/>
    <w:rsid w:val="000D1604"/>
    <w:rsid w:val="00131E7A"/>
    <w:rsid w:val="00157F7F"/>
    <w:rsid w:val="0017668D"/>
    <w:rsid w:val="00185916"/>
    <w:rsid w:val="001C043F"/>
    <w:rsid w:val="00211F01"/>
    <w:rsid w:val="00256795"/>
    <w:rsid w:val="00276A4A"/>
    <w:rsid w:val="0028586E"/>
    <w:rsid w:val="002B528B"/>
    <w:rsid w:val="002D2F97"/>
    <w:rsid w:val="002E0E61"/>
    <w:rsid w:val="002F44CC"/>
    <w:rsid w:val="0032684A"/>
    <w:rsid w:val="003A23F1"/>
    <w:rsid w:val="003E1BFA"/>
    <w:rsid w:val="003E72C3"/>
    <w:rsid w:val="004050C3"/>
    <w:rsid w:val="00457496"/>
    <w:rsid w:val="004600C0"/>
    <w:rsid w:val="00492977"/>
    <w:rsid w:val="004A6C5F"/>
    <w:rsid w:val="004C3F99"/>
    <w:rsid w:val="004F2C26"/>
    <w:rsid w:val="005030A7"/>
    <w:rsid w:val="00513D1D"/>
    <w:rsid w:val="005177CD"/>
    <w:rsid w:val="00534F93"/>
    <w:rsid w:val="00541C6D"/>
    <w:rsid w:val="0056082A"/>
    <w:rsid w:val="005735BD"/>
    <w:rsid w:val="005951A9"/>
    <w:rsid w:val="005C26D3"/>
    <w:rsid w:val="005E6553"/>
    <w:rsid w:val="00645DC4"/>
    <w:rsid w:val="00661BED"/>
    <w:rsid w:val="00662460"/>
    <w:rsid w:val="00665834"/>
    <w:rsid w:val="0069260F"/>
    <w:rsid w:val="006A01E9"/>
    <w:rsid w:val="006E4308"/>
    <w:rsid w:val="00734CE9"/>
    <w:rsid w:val="0078388D"/>
    <w:rsid w:val="00791FD6"/>
    <w:rsid w:val="007D7C67"/>
    <w:rsid w:val="007E7204"/>
    <w:rsid w:val="008118F3"/>
    <w:rsid w:val="00860964"/>
    <w:rsid w:val="00874C58"/>
    <w:rsid w:val="008B49EB"/>
    <w:rsid w:val="008C554A"/>
    <w:rsid w:val="00922DA8"/>
    <w:rsid w:val="00952A18"/>
    <w:rsid w:val="009A121A"/>
    <w:rsid w:val="009D4492"/>
    <w:rsid w:val="00A17A1E"/>
    <w:rsid w:val="00A17F3E"/>
    <w:rsid w:val="00A46C24"/>
    <w:rsid w:val="00A91C03"/>
    <w:rsid w:val="00B21987"/>
    <w:rsid w:val="00B32C99"/>
    <w:rsid w:val="00B43114"/>
    <w:rsid w:val="00BA385C"/>
    <w:rsid w:val="00BC17CD"/>
    <w:rsid w:val="00BD3AF0"/>
    <w:rsid w:val="00BF05C8"/>
    <w:rsid w:val="00BF61E0"/>
    <w:rsid w:val="00C04819"/>
    <w:rsid w:val="00C922B4"/>
    <w:rsid w:val="00CA31C3"/>
    <w:rsid w:val="00CB705A"/>
    <w:rsid w:val="00CD0AAD"/>
    <w:rsid w:val="00CF0D3B"/>
    <w:rsid w:val="00CF2A49"/>
    <w:rsid w:val="00D026BF"/>
    <w:rsid w:val="00D061F7"/>
    <w:rsid w:val="00D1544D"/>
    <w:rsid w:val="00D23975"/>
    <w:rsid w:val="00D46106"/>
    <w:rsid w:val="00D96A53"/>
    <w:rsid w:val="00DA3F28"/>
    <w:rsid w:val="00DB680D"/>
    <w:rsid w:val="00E016AF"/>
    <w:rsid w:val="00E03071"/>
    <w:rsid w:val="00E049F6"/>
    <w:rsid w:val="00E12EF9"/>
    <w:rsid w:val="00E400BC"/>
    <w:rsid w:val="00E86847"/>
    <w:rsid w:val="00EA13F4"/>
    <w:rsid w:val="00EE4A1E"/>
    <w:rsid w:val="00EF29CC"/>
    <w:rsid w:val="00EF3EC9"/>
    <w:rsid w:val="00F53675"/>
    <w:rsid w:val="00F579E8"/>
    <w:rsid w:val="00F65731"/>
    <w:rsid w:val="00FD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F3"/>
  </w:style>
  <w:style w:type="paragraph" w:styleId="Ttulo1">
    <w:name w:val="heading 1"/>
    <w:basedOn w:val="Normal1"/>
    <w:next w:val="Normal1"/>
    <w:rsid w:val="001766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1766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1766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1766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17668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1766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7668D"/>
  </w:style>
  <w:style w:type="table" w:customStyle="1" w:styleId="TableNormal">
    <w:name w:val="Table Normal"/>
    <w:rsid w:val="00176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7668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17668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D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D3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D0A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0A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0A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0A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0AA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31E7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2C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430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D2F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2F97"/>
  </w:style>
  <w:style w:type="paragraph" w:styleId="Rodap">
    <w:name w:val="footer"/>
    <w:basedOn w:val="Normal"/>
    <w:link w:val="RodapChar"/>
    <w:uiPriority w:val="99"/>
    <w:semiHidden/>
    <w:unhideWhenUsed/>
    <w:rsid w:val="002D2F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2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ece.ce.gov.br/wp-content/uploads/sites/45/2018/09/Regioes_Planejamento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44Ge5pquPx9hzFA6v-iszxsYTR6O1kj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y7qL5wI_PbtmTFKLJTztrfLiC5zwPd_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4F9A-7B9B-4CD6-8F56-D63B73A3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Thomaz Novais Rocha</cp:lastModifiedBy>
  <cp:revision>10</cp:revision>
  <cp:lastPrinted>2020-01-13T19:33:00Z</cp:lastPrinted>
  <dcterms:created xsi:type="dcterms:W3CDTF">2019-12-12T19:24:00Z</dcterms:created>
  <dcterms:modified xsi:type="dcterms:W3CDTF">2020-01-14T13:37:00Z</dcterms:modified>
</cp:coreProperties>
</file>