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INSCRIÇÃO ABERTA PARA PROPOSTAS DE MESAS REDONDAS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 Rede de Investigadores sobre Fatores Psicossociais no Trabalho-RIFAPT, a Universidade Estadual do Ceará-UECE e o II Congresso Internacional e V Congresso das Américas sobre Fatores Psicossociais, Saúde Mental e Stress no Trabalho CONVOCAM os(as) pesquisadores(as) e lideranças dos movimentos dos trabalhadores da área a inscreverem propostas de Mesas Redondas a serem ofertadas no 2º ou no 3º dia do evento, 19 ou 20 de outubro de 2023, manhã (10 às 12h30) ou tarde (16 às 18h30).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O horário se baseia no fuso de Brasília.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As propostas devem obedecer ao modelo em anexo.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Quando a proposta for realizada por liderança dos movimentos dos trabalhadores, ela deve ter a participação de pelo menos um(a) pesquisador(as) na composição da Mesa.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Pelo menos dois(duas) proponentes devem estar regularmente inscritos(as) no evento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A proposta será apreciada pelo Comitê Científico que informará, em tempo hábil, o aceite ou não da mesma.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As 20 vagas do total de 28 vagas para apresentação presencial e 10 vagas do total de 28 vagas de apresentação remota encontram-se reservadas para os membros da RIFAPT, Colocam-se em disponibilidade, por meio desta convocatória, para a comunidade acadêmica e sindical que tenham linhas de atuação no campo da “saúde mental e trabalho”, ao todo 26 vagas: 08 vagas de apresentação presencial e 18 vagas de apresentação remota.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</w:rPr>
      </w:pPr>
      <w:r>
        <w:rPr>
          <w:sz w:val="24"/>
          <w:szCs w:val="24"/>
        </w:rPr>
        <w:t>O prazo de apresentação destas propostas vencerá em 30 de junho de 2023.</w:t>
      </w:r>
    </w:p>
    <w:p>
      <w:pPr>
        <w:pStyle w:val="Normal"/>
        <w:numPr>
          <w:ilvl w:val="0"/>
          <w:numId w:val="1"/>
        </w:numPr>
        <w:spacing w:lineRule="auto" w:line="360"/>
        <w:ind w:left="284" w:hanging="360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>Após o preenchimento das propostas, as mesmas devem ser enviadas para congresso.rifapt@uece.br indicando no título do e-mail se a proposta é para Minicurso ou para Mesa Redonda.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Modelo de Mesas Redondas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 Congresso das Américas, 2023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RIFAPT/UECE, Campus Itaperi, Fortaleza/Ce/Br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1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333"/>
        <w:gridCol w:w="5160"/>
      </w:tblGrid>
      <w:tr>
        <w:trPr/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 Específico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 a Lista de Tema Geral, Eixos Temáticos e Temas Específicos</w:t>
            </w:r>
          </w:p>
        </w:tc>
      </w:tr>
      <w:tr>
        <w:trPr>
          <w:trHeight w:val="643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Presencial   OU   (    ) Remoto</w:t>
            </w:r>
          </w:p>
        </w:tc>
      </w:tr>
      <w:tr>
        <w:trPr>
          <w:trHeight w:val="553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19/10/2023  OU  (    ) 20/10/2023</w:t>
            </w:r>
          </w:p>
        </w:tc>
      </w:tr>
      <w:tr>
        <w:trPr>
          <w:trHeight w:val="553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10 às 12h30 OU  (    ) 16 às 18h30 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(horário Brasília)</w:t>
            </w:r>
          </w:p>
        </w:tc>
      </w:tr>
      <w:tr>
        <w:trPr/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</w:tc>
      </w:tr>
      <w:tr>
        <w:trPr>
          <w:trHeight w:val="378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 Subtítulo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</w:tr>
      <w:tr>
        <w:trPr>
          <w:trHeight w:val="822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1º Relator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>
        <w:trPr>
          <w:trHeight w:val="378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 Subtítulo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</w:tr>
      <w:tr>
        <w:trPr>
          <w:trHeight w:val="582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2º Relator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>
        <w:trPr>
          <w:trHeight w:val="348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3º Subtítulo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</w:tr>
      <w:tr>
        <w:trPr>
          <w:trHeight w:val="672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3º Relator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>
        <w:trPr>
          <w:trHeight w:val="443" w:hRule="atLeast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Síntese do Conteúdo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24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(quatro a cinco linhas)</w:t>
            </w:r>
          </w:p>
        </w:tc>
      </w:tr>
    </w:tbl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992" w:right="548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59" w:before="0" w:after="160"/>
      <w:ind w:hanging="1695"/>
      <w:rPr>
        <w:rFonts w:ascii="Calibri" w:hAnsi="Calibri" w:eastAsia="Calibri" w:cs="Calibri"/>
      </w:rPr>
    </w:pPr>
    <w:r>
      <w:rPr/>
      <w:drawing>
        <wp:inline distT="0" distB="0" distL="0" distR="0">
          <wp:extent cx="7701280" cy="231648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74" t="11668" r="957" b="0"/>
                  <a:stretch>
                    <a:fillRect/>
                  </a:stretch>
                </pic:blipFill>
                <pic:spPr bwMode="auto">
                  <a:xfrm>
                    <a:off x="0" y="0"/>
                    <a:ext cx="7701280" cy="231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363</Words>
  <Characters>1867</Characters>
  <CharactersWithSpaces>2205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